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Override PartName="/customXml/itemProps5.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_rels/item5.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tabs>
          <w:tab w:val="clear" w:pos="720"/>
          <w:tab w:val="left" w:pos="1134" w:leader="none"/>
          <w:tab w:val="left" w:pos="1418" w:leader="none"/>
        </w:tabs>
        <w:spacing w:lineRule="auto" w:line="240" w:before="120" w:after="120"/>
        <w:jc w:val="center"/>
        <w:outlineLvl w:val="0"/>
        <w:rPr>
          <w:rFonts w:ascii="Arial" w:hAnsi="Arial" w:eastAsia="Times New Roman" w:cs="Arial"/>
          <w:b/>
          <w:caps/>
          <w:sz w:val="20"/>
          <w:szCs w:val="20"/>
          <w:lang w:val="lt-LT"/>
        </w:rPr>
      </w:pPr>
      <w:r>
        <w:rPr>
          <w:rFonts w:eastAsia="Times New Roman" w:cs="Arial" w:ascii="Arial" w:hAnsi="Arial"/>
          <w:b/>
          <w:sz w:val="20"/>
          <w:szCs w:val="20"/>
          <w:lang w:val="lt-LT"/>
        </w:rPr>
        <w:t>Valstybės įmonės Valstybinių miškų urėdijos nekilnojamo turto draudimo paslaugų pirkimo</w:t>
      </w:r>
    </w:p>
    <w:p>
      <w:pPr>
        <w:pStyle w:val="Normal"/>
        <w:keepNext w:val="true"/>
        <w:numPr>
          <w:ilvl w:val="0"/>
          <w:numId w:val="0"/>
        </w:numPr>
        <w:tabs>
          <w:tab w:val="clear" w:pos="720"/>
          <w:tab w:val="left" w:pos="1134" w:leader="none"/>
          <w:tab w:val="left" w:pos="1418" w:leader="none"/>
        </w:tabs>
        <w:spacing w:lineRule="auto" w:line="240" w:before="240" w:after="240"/>
        <w:jc w:val="center"/>
        <w:outlineLvl w:val="0"/>
        <w:rPr>
          <w:rFonts w:ascii="Arial" w:hAnsi="Arial" w:eastAsia="Times New Roman" w:cs="Arial"/>
          <w:b/>
          <w:sz w:val="20"/>
          <w:szCs w:val="20"/>
          <w:lang w:val="lt-LT"/>
        </w:rPr>
      </w:pPr>
      <w:r>
        <w:rPr>
          <w:rFonts w:eastAsia="Times New Roman" w:cs="Arial" w:ascii="Arial" w:hAnsi="Arial"/>
          <w:b/>
          <w:sz w:val="20"/>
          <w:szCs w:val="20"/>
          <w:lang w:val="lt-LT"/>
        </w:rPr>
        <w:t xml:space="preserve">techninė specifikacija (toliau </w:t>
      </w:r>
      <w:r>
        <w:rPr>
          <w:rFonts w:eastAsia="Times New Roman" w:cs="Arial" w:ascii="Arial" w:hAnsi="Arial"/>
          <w:b/>
          <w:sz w:val="20"/>
          <w:szCs w:val="20"/>
          <w:lang w:val="lt-LT"/>
        </w:rPr>
        <w:t xml:space="preserve">- </w:t>
      </w:r>
      <w:r>
        <w:rPr>
          <w:rFonts w:eastAsia="Times New Roman" w:cs="Arial" w:ascii="Arial" w:hAnsi="Arial"/>
          <w:b/>
          <w:sz w:val="20"/>
          <w:szCs w:val="20"/>
          <w:lang w:val="lt-LT"/>
        </w:rPr>
        <w:t>TS)</w:t>
      </w:r>
    </w:p>
    <w:p>
      <w:pPr>
        <w:pStyle w:val="ListParagraph"/>
        <w:numPr>
          <w:ilvl w:val="0"/>
          <w:numId w:val="2"/>
        </w:numPr>
        <w:pBdr>
          <w:top w:val="single" w:sz="8" w:space="1" w:color="000000"/>
          <w:bottom w:val="single" w:sz="8" w:space="1" w:color="000000"/>
        </w:pBdr>
        <w:tabs>
          <w:tab w:val="clear" w:pos="720"/>
          <w:tab w:val="left" w:pos="284" w:leader="none"/>
        </w:tabs>
        <w:spacing w:lineRule="atLeast" w:line="240" w:before="60" w:after="60"/>
        <w:ind w:hanging="0" w:left="0"/>
        <w:contextualSpacing w:val="false"/>
        <w:rPr>
          <w:rFonts w:ascii="Arial" w:hAnsi="Arial" w:cs="Arial"/>
          <w:b/>
          <w:sz w:val="20"/>
          <w:szCs w:val="20"/>
          <w:lang w:val="lt-LT"/>
        </w:rPr>
      </w:pPr>
      <w:r>
        <w:rPr>
          <w:rFonts w:cs="Arial" w:ascii="Arial" w:hAnsi="Arial"/>
          <w:b/>
          <w:sz w:val="20"/>
          <w:szCs w:val="20"/>
          <w:lang w:val="lt-LT"/>
        </w:rPr>
        <w:t>PIRKIMO OBJEKTAS</w:t>
      </w:r>
    </w:p>
    <w:p>
      <w:pPr>
        <w:pStyle w:val="ListParagraph"/>
        <w:numPr>
          <w:ilvl w:val="1"/>
          <w:numId w:val="2"/>
        </w:numPr>
        <w:spacing w:before="0" w:after="120"/>
        <w:ind w:hanging="425" w:left="709"/>
        <w:contextualSpacing/>
        <w:jc w:val="both"/>
        <w:rPr>
          <w:rFonts w:ascii="Arial" w:hAnsi="Arial" w:cs="Arial"/>
          <w:sz w:val="20"/>
          <w:szCs w:val="20"/>
          <w:lang w:val="lt-LT"/>
        </w:rPr>
      </w:pPr>
      <w:r>
        <w:rPr>
          <w:rFonts w:cs="Arial" w:ascii="Arial" w:hAnsi="Arial"/>
          <w:sz w:val="20"/>
          <w:szCs w:val="20"/>
          <w:lang w:val="lt-LT"/>
        </w:rPr>
        <w:t>Valstybės įmonės Valstybinių miškų urėdijos, įmonės kodas 132340880 (toliau Draudėjas) valdomo nekilnojamojo turto draudimo paslaugų pirkimas.</w:t>
      </w:r>
    </w:p>
    <w:p>
      <w:pPr>
        <w:pStyle w:val="ListParagraph"/>
        <w:spacing w:before="0" w:after="120"/>
        <w:ind w:left="709"/>
        <w:contextualSpacing/>
        <w:jc w:val="both"/>
        <w:rPr>
          <w:rFonts w:ascii="Arial" w:hAnsi="Arial" w:cs="Arial"/>
          <w:sz w:val="20"/>
          <w:szCs w:val="20"/>
          <w:lang w:val="lt-LT"/>
        </w:rPr>
      </w:pPr>
      <w:r>
        <w:rPr>
          <w:rFonts w:cs="Arial" w:ascii="Arial" w:hAnsi="Arial"/>
          <w:sz w:val="20"/>
          <w:szCs w:val="20"/>
          <w:lang w:val="lt-LT"/>
        </w:rPr>
      </w:r>
    </w:p>
    <w:p>
      <w:pPr>
        <w:pStyle w:val="ListParagraph"/>
        <w:numPr>
          <w:ilvl w:val="1"/>
          <w:numId w:val="2"/>
        </w:numPr>
        <w:spacing w:before="0" w:after="120"/>
        <w:ind w:hanging="425" w:left="709"/>
        <w:contextualSpacing/>
        <w:jc w:val="both"/>
        <w:rPr>
          <w:rFonts w:ascii="Arial" w:hAnsi="Arial" w:cs="Arial"/>
          <w:sz w:val="20"/>
          <w:szCs w:val="20"/>
          <w:lang w:val="lt-LT"/>
        </w:rPr>
      </w:pPr>
      <w:r>
        <w:rPr>
          <w:rFonts w:cs="Arial" w:ascii="Arial" w:hAnsi="Arial"/>
          <w:sz w:val="20"/>
          <w:szCs w:val="20"/>
          <w:lang w:val="lt-LT"/>
        </w:rPr>
        <w:t>Rizikos vertinimo, draudimo sutarčių ir polisų sudarymo tarpininkavimo, žalos istorijos ir kitais draudimo klausimais, Draudėją atstovauja draudimo brokerių bendrovė Aon Baltic, UADBB (toliau – Brokeris), pagal VĮ Valstybinių miškų urėdijos ir Aon Baltic, UADBB 2024 m. lapkričio 6 d. sudarytą draudimo brokerių paslaugų teikimo sutartį Nr. 77-VP-7887-2024. Draudikas įsipareigoja bendradarbiauti su Draudėjo pasirinktu draudimo brokeriu ir teikti informaciją, reikalingą tinkamam draudimo sutarties sudarymui ir administravimui. Draudimo brokerio atlygio klausimai sprendžiami vadovaujantis draudimo tarpininkavimo veiklą reglamentuojančiais teisės aktais bei draudiko ir draudimo brokerio tarpusavio susitarimais.</w:t>
      </w:r>
    </w:p>
    <w:p>
      <w:pPr>
        <w:pStyle w:val="ListParagraph"/>
        <w:spacing w:before="0" w:after="120"/>
        <w:ind w:left="709"/>
        <w:contextualSpacing/>
        <w:jc w:val="both"/>
        <w:rPr>
          <w:rFonts w:ascii="Arial" w:hAnsi="Arial" w:cs="Arial"/>
          <w:sz w:val="20"/>
          <w:szCs w:val="20"/>
          <w:lang w:val="lt-LT"/>
        </w:rPr>
      </w:pPr>
      <w:r>
        <w:rPr>
          <w:rFonts w:cs="Arial" w:ascii="Arial" w:hAnsi="Arial"/>
          <w:sz w:val="20"/>
          <w:szCs w:val="20"/>
          <w:lang w:val="lt-LT"/>
        </w:rPr>
      </w:r>
    </w:p>
    <w:p>
      <w:pPr>
        <w:pStyle w:val="ListParagraph"/>
        <w:numPr>
          <w:ilvl w:val="0"/>
          <w:numId w:val="2"/>
        </w:numPr>
        <w:pBdr>
          <w:top w:val="single" w:sz="8" w:space="1" w:color="000000"/>
          <w:bottom w:val="single" w:sz="8" w:space="1" w:color="000000"/>
        </w:pBdr>
        <w:tabs>
          <w:tab w:val="clear" w:pos="720"/>
          <w:tab w:val="left" w:pos="284" w:leader="none"/>
        </w:tabs>
        <w:spacing w:lineRule="atLeast" w:line="240" w:before="60" w:after="60"/>
        <w:ind w:hanging="0" w:left="0"/>
        <w:contextualSpacing/>
        <w:rPr>
          <w:rFonts w:ascii="Arial" w:hAnsi="Arial" w:cs="Arial"/>
          <w:b/>
          <w:sz w:val="20"/>
          <w:szCs w:val="20"/>
          <w:lang w:val="lt-LT"/>
        </w:rPr>
      </w:pPr>
      <w:r>
        <w:rPr>
          <w:rFonts w:cs="Arial" w:ascii="Arial" w:hAnsi="Arial"/>
          <w:b/>
          <w:sz w:val="20"/>
          <w:szCs w:val="20"/>
          <w:lang w:val="lt-LT"/>
        </w:rPr>
        <w:t>REIKALAVIMAI PIRKIMO OBJEKTUI</w:t>
      </w:r>
    </w:p>
    <w:p>
      <w:pPr>
        <w:pStyle w:val="ListParagraph"/>
        <w:numPr>
          <w:ilvl w:val="1"/>
          <w:numId w:val="7"/>
        </w:numPr>
        <w:spacing w:lineRule="auto" w:line="240" w:before="0" w:after="0"/>
        <w:ind w:hanging="491" w:left="851"/>
        <w:contextualSpacing/>
        <w:jc w:val="both"/>
        <w:rPr>
          <w:rFonts w:ascii="Arial" w:hAnsi="Arial" w:cs="Arial"/>
          <w:b/>
          <w:sz w:val="20"/>
          <w:szCs w:val="20"/>
          <w:lang w:val="lt-LT"/>
        </w:rPr>
      </w:pPr>
      <w:r>
        <w:rPr>
          <w:rFonts w:cs="Arial" w:ascii="Arial" w:hAnsi="Arial"/>
          <w:b/>
          <w:sz w:val="20"/>
          <w:szCs w:val="20"/>
          <w:lang w:val="lt-LT"/>
        </w:rPr>
        <w:t>Draudimo objektas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Apdraudžiamas nekilnojamasis turtas, kurį Draudėjas valdo, nuomojasi ar naudoja, įskaitant Draudėjui nepriklausantį, bet jo išsinuomotą, valdomą, naudojamą, jam patikėtą, trečiųjų šalių nekilnojamąjį turtą, kurio draudimu Draudėjas privalo pasirūpinti pagal sutartis.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Nekilnojamajam turtui priskiriami pastatai ir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jų viduje esantys įrenginiai, kurie pagal paskirtį ir prigimtį yra nekilnojamieji: šildymo, vandentiekio, kanalizacijos, sprinklerinės sistemos stacionarūs įrenginiai; pastato bei statinio elektros instaliacijos įrenginiai; vėdinimo ir oro kondicionavimo stacionarūs įrenginiai; turto ir priešgaisrinės apsaugos stacionari įranga.</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Draudimo objektui nepriskiriamas turtas yra išvardintas 2.5. papunktyje.</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1"/>
          <w:numId w:val="7"/>
        </w:numPr>
        <w:spacing w:lineRule="auto" w:line="240" w:before="0" w:after="0"/>
        <w:ind w:hanging="491" w:left="851"/>
        <w:contextualSpacing/>
        <w:jc w:val="both"/>
        <w:rPr>
          <w:rFonts w:ascii="Arial" w:hAnsi="Arial" w:cs="Arial"/>
          <w:b/>
          <w:sz w:val="20"/>
          <w:szCs w:val="20"/>
          <w:lang w:val="lt-LT"/>
        </w:rPr>
      </w:pPr>
      <w:r>
        <w:rPr>
          <w:rFonts w:cs="Arial" w:ascii="Arial" w:hAnsi="Arial"/>
          <w:b/>
          <w:sz w:val="20"/>
          <w:szCs w:val="20"/>
          <w:lang w:val="lt-LT"/>
        </w:rPr>
        <w:t>Pirkimo objektas neskaidomas į dalis</w:t>
      </w:r>
    </w:p>
    <w:p>
      <w:pPr>
        <w:pStyle w:val="ListParagraph"/>
        <w:spacing w:lineRule="auto" w:line="240" w:before="0" w:after="0"/>
        <w:ind w:left="851"/>
        <w:contextualSpacing/>
        <w:jc w:val="both"/>
        <w:rPr>
          <w:rFonts w:ascii="Arial" w:hAnsi="Arial" w:cs="Arial"/>
          <w:b/>
          <w:sz w:val="20"/>
          <w:szCs w:val="20"/>
          <w:lang w:val="lt-LT"/>
        </w:rPr>
      </w:pPr>
      <w:r>
        <w:rPr>
          <w:rFonts w:cs="Arial" w:ascii="Arial" w:hAnsi="Arial"/>
          <w:b/>
          <w:sz w:val="20"/>
          <w:szCs w:val="20"/>
          <w:lang w:val="lt-LT"/>
        </w:rPr>
      </w:r>
    </w:p>
    <w:p>
      <w:pPr>
        <w:pStyle w:val="ListParagraph"/>
        <w:numPr>
          <w:ilvl w:val="2"/>
          <w:numId w:val="7"/>
        </w:numPr>
        <w:tabs>
          <w:tab w:val="clear" w:pos="720"/>
          <w:tab w:val="left" w:pos="1276" w:leader="none"/>
        </w:tabs>
        <w:spacing w:lineRule="auto" w:line="240" w:before="0" w:after="0"/>
        <w:ind w:hanging="0" w:left="567"/>
        <w:contextualSpacing/>
        <w:jc w:val="both"/>
        <w:rPr>
          <w:rFonts w:ascii="Arial" w:hAnsi="Arial" w:eastAsia="Calibri" w:cs="Arial"/>
          <w:sz w:val="20"/>
          <w:szCs w:val="20"/>
          <w:lang w:val="lt-LT" w:eastAsia="lt-LT"/>
        </w:rPr>
      </w:pPr>
      <w:r>
        <w:rPr>
          <w:rFonts w:eastAsia="Calibri" w:cs="Arial" w:ascii="Arial" w:hAnsi="Arial"/>
          <w:b/>
          <w:bCs/>
          <w:sz w:val="20"/>
          <w:szCs w:val="20"/>
          <w:lang w:val="lt-LT" w:eastAsia="lt-LT"/>
        </w:rPr>
        <w:t>Pirkimo objektas</w:t>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Pirkimo objektas yra nekilnojamojo turto objektų draudimo paslaugos. Apdraudžiami draudimo objektai, esantys Draudėjo Anykščių, Biržų, Druskininkų, Ignalinos, Nemenčinės, Panevėžio, Prienų, Rokiškio, Šalčininkų, Švenčionėlių, Trakų, Ukmergės ir Varėnos regioniniuose padaliniuose, Medelynų padaliniuose bei Vilniaus centrinės administracijos pastatas. Draudžiamų pastatų ir statinių sąrašai pagal paskirtis pateikiami TS Priede „Priedas Nr. 1“. </w:t>
      </w:r>
    </w:p>
    <w:p>
      <w:pPr>
        <w:pStyle w:val="ListParagraph"/>
        <w:numPr>
          <w:ilvl w:val="0"/>
          <w:numId w:val="16"/>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Administraciniai;</w:t>
      </w:r>
    </w:p>
    <w:p>
      <w:pPr>
        <w:pStyle w:val="ListParagraph"/>
        <w:numPr>
          <w:ilvl w:val="0"/>
          <w:numId w:val="16"/>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Gyvenamieji;</w:t>
      </w:r>
    </w:p>
    <w:p>
      <w:pPr>
        <w:pStyle w:val="ListParagraph"/>
        <w:numPr>
          <w:ilvl w:val="0"/>
          <w:numId w:val="16"/>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Gamybiniai;</w:t>
      </w:r>
    </w:p>
    <w:p>
      <w:pPr>
        <w:pStyle w:val="ListParagraph"/>
        <w:numPr>
          <w:ilvl w:val="0"/>
          <w:numId w:val="16"/>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Pagalbiniai. </w:t>
      </w:r>
    </w:p>
    <w:p>
      <w:pPr>
        <w:pStyle w:val="Normal"/>
        <w:tabs>
          <w:tab w:val="clear" w:pos="720"/>
          <w:tab w:val="left" w:pos="1276" w:leader="none"/>
        </w:tabs>
        <w:spacing w:lineRule="auto" w:line="240" w:before="0" w:after="0"/>
        <w:ind w:left="567"/>
        <w:jc w:val="both"/>
        <w:rPr>
          <w:rFonts w:ascii="Arial" w:hAnsi="Arial" w:eastAsia="Calibri" w:cs="Arial"/>
          <w:sz w:val="20"/>
          <w:szCs w:val="20"/>
          <w:lang w:val="lt-LT" w:eastAsia="lt-LT"/>
        </w:rPr>
      </w:pPr>
      <w:r>
        <w:rPr>
          <w:rFonts w:eastAsia="Calibri" w:cs="Arial" w:ascii="Arial" w:hAnsi="Arial"/>
          <w:sz w:val="20"/>
          <w:szCs w:val="20"/>
          <w:lang w:val="lt-LT" w:eastAsia="lt-LT"/>
        </w:rPr>
        <w:t>Pirkimo objektas yra nekilnojamojo turto objektų draudimo paslaugos. Apdraudžiami draudimo objektai, esantys Dubravos, Jurbarko, Kazlų Rūdos, Kretingos, Kuršėnų, Mažeikių, Radviliškio, Raseinių, Šakių, Šilutės, Tauragės, Telšių regioniniuose padaliniuose, Medelynų padaliniuose bei Kauno centrinės administracijos pastatai. Draudžiamų pastatų ir statinių sąrašai pagal paskirtis pateikiami TS Priede „Priedas Nr. 2“:</w:t>
      </w:r>
    </w:p>
    <w:p>
      <w:pPr>
        <w:pStyle w:val="ListParagraph"/>
        <w:numPr>
          <w:ilvl w:val="0"/>
          <w:numId w:val="13"/>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Administraciniai;</w:t>
      </w:r>
    </w:p>
    <w:p>
      <w:pPr>
        <w:pStyle w:val="ListParagraph"/>
        <w:numPr>
          <w:ilvl w:val="0"/>
          <w:numId w:val="13"/>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Gyvenamieji;</w:t>
      </w:r>
    </w:p>
    <w:p>
      <w:pPr>
        <w:pStyle w:val="ListParagraph"/>
        <w:numPr>
          <w:ilvl w:val="0"/>
          <w:numId w:val="13"/>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Gamybiniai;</w:t>
      </w:r>
    </w:p>
    <w:p>
      <w:pPr>
        <w:pStyle w:val="ListParagraph"/>
        <w:numPr>
          <w:ilvl w:val="0"/>
          <w:numId w:val="13"/>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Pagalbiniai.</w:t>
      </w:r>
    </w:p>
    <w:p>
      <w:pPr>
        <w:pStyle w:val="ListParagraph"/>
        <w:numPr>
          <w:ilvl w:val="0"/>
          <w:numId w:val="13"/>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Rekreaciniai.</w:t>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tabs>
          <w:tab w:val="clear" w:pos="720"/>
          <w:tab w:val="left" w:pos="1276" w:leader="none"/>
        </w:tabs>
        <w:spacing w:lineRule="auto" w:line="240" w:before="0" w:after="0"/>
        <w:ind w:left="567"/>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Normal"/>
        <w:tabs>
          <w:tab w:val="clear" w:pos="720"/>
          <w:tab w:val="left" w:pos="1276"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Normal"/>
        <w:tabs>
          <w:tab w:val="clear" w:pos="720"/>
          <w:tab w:val="left" w:pos="1276"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tbl>
      <w:tblPr>
        <w:tblW w:w="5000" w:type="pct"/>
        <w:jc w:val="left"/>
        <w:tblInd w:w="0" w:type="dxa"/>
        <w:tblLayout w:type="fixed"/>
        <w:tblCellMar>
          <w:top w:w="0" w:type="dxa"/>
          <w:left w:w="108" w:type="dxa"/>
          <w:bottom w:w="0" w:type="dxa"/>
          <w:right w:w="108" w:type="dxa"/>
        </w:tblCellMar>
        <w:tblLook w:firstRow="1" w:noVBand="0" w:lastRow="0" w:firstColumn="1" w:lastColumn="0" w:noHBand="0" w:val="00a0"/>
      </w:tblPr>
      <w:tblGrid>
        <w:gridCol w:w="699"/>
        <w:gridCol w:w="2553"/>
        <w:gridCol w:w="2250"/>
        <w:gridCol w:w="2226"/>
        <w:gridCol w:w="2527"/>
      </w:tblGrid>
      <w:tr>
        <w:trPr>
          <w:trHeight w:val="576" w:hRule="atLeast"/>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
                <w:sz w:val="20"/>
                <w:szCs w:val="20"/>
                <w:lang w:val="lt-LT" w:eastAsia="lt-LT"/>
              </w:rPr>
            </w:pPr>
            <w:r>
              <w:rPr>
                <w:rFonts w:eastAsia="Calibri" w:cs="Arial" w:ascii="Arial" w:hAnsi="Arial"/>
                <w:b/>
                <w:sz w:val="20"/>
                <w:szCs w:val="20"/>
                <w:lang w:val="lt-LT" w:eastAsia="lt-LT"/>
              </w:rPr>
              <w:t>Eil. Nr.</w:t>
            </w:r>
          </w:p>
        </w:tc>
        <w:tc>
          <w:tcPr>
            <w:tcW w:w="255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
                <w:sz w:val="20"/>
                <w:szCs w:val="20"/>
                <w:lang w:val="lt-LT" w:eastAsia="lt-LT"/>
              </w:rPr>
            </w:pPr>
            <w:r>
              <w:rPr>
                <w:rFonts w:eastAsia="Calibri" w:cs="Arial" w:ascii="Arial" w:hAnsi="Arial"/>
                <w:b/>
                <w:sz w:val="20"/>
                <w:szCs w:val="20"/>
                <w:lang w:val="lt-LT" w:eastAsia="lt-LT"/>
              </w:rPr>
              <w:t>Draudimo objektas</w:t>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
                <w:sz w:val="20"/>
                <w:szCs w:val="20"/>
                <w:lang w:val="lt-LT" w:eastAsia="lt-LT"/>
              </w:rPr>
            </w:pPr>
            <w:r>
              <w:rPr>
                <w:rFonts w:eastAsia="Calibri" w:cs="Arial" w:ascii="Arial" w:hAnsi="Arial"/>
                <w:b/>
                <w:sz w:val="20"/>
                <w:szCs w:val="20"/>
                <w:lang w:val="lt-LT" w:eastAsia="lt-LT"/>
              </w:rPr>
              <w:t>Objekto paskirtis</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
                <w:sz w:val="20"/>
                <w:szCs w:val="20"/>
                <w:lang w:val="lt-LT" w:eastAsia="lt-LT"/>
              </w:rPr>
            </w:pPr>
            <w:r>
              <w:rPr>
                <w:rFonts w:eastAsia="Calibri" w:cs="Arial" w:ascii="Arial" w:hAnsi="Arial"/>
                <w:b/>
                <w:sz w:val="20"/>
                <w:szCs w:val="20"/>
                <w:lang w:val="lt-LT" w:eastAsia="lt-LT"/>
              </w:rPr>
              <w:t>Draudimo suma, Eur</w:t>
            </w:r>
          </w:p>
        </w:tc>
        <w:tc>
          <w:tcPr>
            <w:tcW w:w="252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
                <w:sz w:val="20"/>
                <w:szCs w:val="20"/>
                <w:lang w:val="lt-LT" w:eastAsia="lt-LT"/>
              </w:rPr>
            </w:pPr>
            <w:r>
              <w:rPr>
                <w:rFonts w:eastAsia="Calibri" w:cs="Arial" w:ascii="Arial" w:hAnsi="Arial"/>
                <w:b/>
                <w:sz w:val="20"/>
                <w:szCs w:val="20"/>
                <w:lang w:val="lt-LT" w:eastAsia="lt-LT"/>
              </w:rPr>
              <w:t>Vertės požymis</w:t>
            </w:r>
          </w:p>
        </w:tc>
      </w:tr>
      <w:tr>
        <w:trPr>
          <w:trHeight w:val="551" w:hRule="atLeast"/>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t>1.</w:t>
            </w:r>
          </w:p>
        </w:tc>
        <w:tc>
          <w:tcPr>
            <w:tcW w:w="255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numPr>
                <w:ilvl w:val="0"/>
                <w:numId w:val="1"/>
              </w:numPr>
              <w:spacing w:lineRule="auto" w:line="240" w:before="0" w:after="0"/>
              <w:ind w:hanging="360" w:left="0"/>
              <w:rPr>
                <w:rFonts w:ascii="Arial" w:hAnsi="Arial" w:eastAsia="Calibri" w:cs="Arial"/>
                <w:sz w:val="20"/>
                <w:szCs w:val="20"/>
                <w:lang w:val="lt-LT" w:eastAsia="lt-LT"/>
              </w:rPr>
            </w:pPr>
            <w:r>
              <w:rPr>
                <w:rFonts w:eastAsia="Calibri" w:cs="Arial" w:ascii="Arial" w:hAnsi="Arial"/>
                <w:b/>
                <w:bCs/>
                <w:sz w:val="20"/>
                <w:szCs w:val="20"/>
                <w:lang w:val="lt-LT" w:eastAsia="lt-LT"/>
              </w:rPr>
              <w:t xml:space="preserve">Draudimo objektai </w:t>
            </w:r>
            <w:r>
              <w:rPr>
                <w:rFonts w:eastAsia="Calibri" w:cs="Arial" w:ascii="Arial" w:hAnsi="Arial"/>
                <w:sz w:val="20"/>
                <w:szCs w:val="20"/>
                <w:lang w:val="lt-LT" w:eastAsia="lt-LT"/>
              </w:rPr>
              <w:t xml:space="preserve"> Draudėjo valdomi pastatai ir patalpos pagal pridedamą sąrašą „Priedas Nr. 1“</w:t>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Administracinė</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23 722 182</w:t>
            </w:r>
          </w:p>
        </w:tc>
        <w:tc>
          <w:tcPr>
            <w:tcW w:w="252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Draudžiama nauja atkūrimo verte arba likutine verte (kaip numatyta draudimo sąlygose)</w:t>
            </w:r>
          </w:p>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573"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sz w:val="20"/>
                <w:szCs w:val="20"/>
                <w:lang w:val="lt-LT" w:eastAsia="lt-LT"/>
              </w:rPr>
            </w:pPr>
            <w:r>
              <w:rPr>
                <w:rFonts w:eastAsia="Calibri" w:cs="Arial" w:ascii="Arial" w:hAnsi="Arial"/>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Gyvenamoji</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15 580 803</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665"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sz w:val="20"/>
                <w:szCs w:val="20"/>
                <w:lang w:val="lt-LT" w:eastAsia="lt-LT"/>
              </w:rPr>
            </w:pPr>
            <w:r>
              <w:rPr>
                <w:rFonts w:eastAsia="Calibri" w:cs="Arial" w:ascii="Arial" w:hAnsi="Arial"/>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Gamybinė</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10 926 637</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665"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sz w:val="20"/>
                <w:szCs w:val="20"/>
                <w:lang w:val="lt-LT" w:eastAsia="lt-LT"/>
              </w:rPr>
            </w:pPr>
            <w:r>
              <w:rPr>
                <w:rFonts w:eastAsia="Calibri" w:cs="Arial" w:ascii="Arial" w:hAnsi="Arial"/>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Ūkinė ir kt.     (pagalbiniai pastatai)</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16 721 193</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487"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sz w:val="20"/>
                <w:szCs w:val="20"/>
                <w:lang w:val="lt-LT" w:eastAsia="lt-LT"/>
              </w:rPr>
            </w:pPr>
            <w:r>
              <w:rPr>
                <w:rFonts w:eastAsia="Calibri" w:cs="Arial" w:ascii="Arial" w:hAnsi="Arial"/>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
                <w:sz w:val="20"/>
                <w:szCs w:val="20"/>
                <w:lang w:val="lt-LT" w:eastAsia="lt-LT"/>
              </w:rPr>
            </w:pPr>
            <w:r>
              <w:rPr>
                <w:rFonts w:eastAsia="Calibri" w:cs="Arial" w:ascii="Arial" w:hAnsi="Arial"/>
                <w:b/>
                <w:sz w:val="20"/>
                <w:szCs w:val="20"/>
                <w:lang w:val="lt-LT" w:eastAsia="lt-LT"/>
              </w:rPr>
              <w:t>Iš viso</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b/>
                <w:bCs/>
                <w:sz w:val="20"/>
                <w:szCs w:val="20"/>
                <w:lang w:eastAsia="lt-LT"/>
              </w:rPr>
            </w:pPr>
            <w:r>
              <w:rPr>
                <w:rFonts w:eastAsia="Calibri" w:cs="Arial" w:ascii="Arial" w:hAnsi="Arial"/>
                <w:b/>
                <w:bCs/>
                <w:sz w:val="20"/>
                <w:szCs w:val="20"/>
                <w:lang w:val="lt-LT" w:eastAsia="lt-LT"/>
              </w:rPr>
              <w:t>66 950 815</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576" w:hRule="atLeast"/>
        </w:trPr>
        <w:tc>
          <w:tcPr>
            <w:tcW w:w="699"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t>2.</w:t>
            </w:r>
          </w:p>
        </w:tc>
        <w:tc>
          <w:tcPr>
            <w:tcW w:w="255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numPr>
                <w:ilvl w:val="0"/>
                <w:numId w:val="1"/>
              </w:numPr>
              <w:spacing w:lineRule="auto" w:line="240" w:before="0" w:after="0"/>
              <w:ind w:hanging="360" w:left="0"/>
              <w:rPr>
                <w:rFonts w:ascii="Arial" w:hAnsi="Arial" w:eastAsia="Calibri" w:cs="Arial"/>
                <w:sz w:val="20"/>
                <w:szCs w:val="20"/>
                <w:lang w:val="lt-LT" w:eastAsia="lt-LT"/>
              </w:rPr>
            </w:pPr>
            <w:r>
              <w:rPr>
                <w:rFonts w:eastAsia="Calibri" w:cs="Arial" w:ascii="Arial" w:hAnsi="Arial"/>
                <w:b/>
                <w:bCs/>
                <w:sz w:val="20"/>
                <w:szCs w:val="20"/>
                <w:lang w:val="lt-LT" w:eastAsia="lt-LT"/>
              </w:rPr>
              <w:t>Draudimo objektai</w:t>
            </w:r>
            <w:r>
              <w:rPr>
                <w:rFonts w:eastAsia="Calibri" w:cs="Arial" w:ascii="Arial" w:hAnsi="Arial"/>
                <w:sz w:val="20"/>
                <w:szCs w:val="20"/>
                <w:lang w:val="lt-LT" w:eastAsia="lt-LT"/>
              </w:rPr>
              <w:t xml:space="preserve"> Draudėjo valdomi pastatai ir patalpos pagal pridedamą sąrašą</w:t>
            </w:r>
          </w:p>
          <w:p>
            <w:pPr>
              <w:pStyle w:val="Normal"/>
              <w:numPr>
                <w:ilvl w:val="0"/>
                <w:numId w:val="1"/>
              </w:numPr>
              <w:spacing w:lineRule="auto" w:line="240" w:before="0" w:after="0"/>
              <w:ind w:hanging="360" w:left="0"/>
              <w:rPr>
                <w:rFonts w:ascii="Arial" w:hAnsi="Arial" w:eastAsia="Calibri" w:cs="Arial"/>
                <w:sz w:val="20"/>
                <w:szCs w:val="20"/>
                <w:lang w:val="lt-LT" w:eastAsia="lt-LT"/>
              </w:rPr>
            </w:pPr>
            <w:r>
              <w:rPr>
                <w:rFonts w:eastAsia="Calibri" w:cs="Arial" w:ascii="Arial" w:hAnsi="Arial"/>
                <w:sz w:val="20"/>
                <w:szCs w:val="20"/>
                <w:lang w:val="lt-LT" w:eastAsia="lt-LT"/>
              </w:rPr>
              <w:t>„</w:t>
            </w:r>
            <w:r>
              <w:rPr>
                <w:rFonts w:eastAsia="Calibri" w:cs="Arial" w:ascii="Arial" w:hAnsi="Arial"/>
                <w:sz w:val="20"/>
                <w:szCs w:val="20"/>
                <w:lang w:val="lt-LT" w:eastAsia="lt-LT"/>
              </w:rPr>
              <w:t>Priedas Nr. 2“</w:t>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Administracinė</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25 819 733</w:t>
            </w:r>
          </w:p>
        </w:tc>
        <w:tc>
          <w:tcPr>
            <w:tcW w:w="2527" w:type="dxa"/>
            <w:vMerge w:val="restart"/>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Draudžiama nauja atkūrimo verte arba likutine verte (kaip numatyta draudimo sąlygose)</w:t>
            </w:r>
          </w:p>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576"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b/>
                <w:bCs/>
                <w:sz w:val="20"/>
                <w:szCs w:val="20"/>
                <w:lang w:val="lt-LT" w:eastAsia="lt-LT"/>
              </w:rPr>
            </w:pPr>
            <w:r>
              <w:rPr>
                <w:rFonts w:eastAsia="Calibri" w:cs="Arial" w:ascii="Arial" w:hAnsi="Arial"/>
                <w:b/>
                <w:bCs/>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Gyvenamoji</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15 088 033</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576"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b/>
                <w:bCs/>
                <w:sz w:val="20"/>
                <w:szCs w:val="20"/>
                <w:lang w:val="lt-LT" w:eastAsia="lt-LT"/>
              </w:rPr>
            </w:pPr>
            <w:r>
              <w:rPr>
                <w:rFonts w:eastAsia="Calibri" w:cs="Arial" w:ascii="Arial" w:hAnsi="Arial"/>
                <w:b/>
                <w:bCs/>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Gamybinė</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9 084 383</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576"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b/>
                <w:bCs/>
                <w:sz w:val="20"/>
                <w:szCs w:val="20"/>
                <w:lang w:val="lt-LT" w:eastAsia="lt-LT"/>
              </w:rPr>
            </w:pPr>
            <w:r>
              <w:rPr>
                <w:rFonts w:eastAsia="Calibri" w:cs="Arial" w:ascii="Arial" w:hAnsi="Arial"/>
                <w:b/>
                <w:bCs/>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Ūkinė ir kt.</w:t>
            </w:r>
          </w:p>
          <w:p>
            <w:pPr>
              <w:pStyle w:val="Normal"/>
              <w:spacing w:lineRule="auto" w:line="24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(pagalbiniai pastatai)</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29 943 521</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576"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b/>
                <w:bCs/>
                <w:sz w:val="20"/>
                <w:szCs w:val="20"/>
                <w:lang w:val="lt-LT" w:eastAsia="lt-LT"/>
              </w:rPr>
            </w:pPr>
            <w:r>
              <w:rPr>
                <w:rFonts w:eastAsia="Calibri" w:cs="Arial" w:ascii="Arial" w:hAnsi="Arial"/>
                <w:b/>
                <w:bCs/>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Rekreaciniai</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bCs/>
                <w:sz w:val="20"/>
                <w:szCs w:val="20"/>
                <w:lang w:val="lt-LT" w:eastAsia="lt-LT"/>
              </w:rPr>
            </w:pPr>
            <w:r>
              <w:rPr>
                <w:rFonts w:eastAsia="Calibri" w:cs="Arial" w:ascii="Arial" w:hAnsi="Arial"/>
                <w:bCs/>
                <w:sz w:val="20"/>
                <w:szCs w:val="20"/>
                <w:lang w:val="lt-LT" w:eastAsia="lt-LT"/>
              </w:rPr>
              <w:t>27 071</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576" w:hRule="atLeast"/>
        </w:trPr>
        <w:tc>
          <w:tcPr>
            <w:tcW w:w="699"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r>
          </w:p>
        </w:tc>
        <w:tc>
          <w:tcPr>
            <w:tcW w:w="255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b/>
                <w:bCs/>
                <w:sz w:val="20"/>
                <w:szCs w:val="20"/>
                <w:lang w:val="lt-LT" w:eastAsia="lt-LT"/>
              </w:rPr>
            </w:pPr>
            <w:r>
              <w:rPr>
                <w:rFonts w:eastAsia="Calibri" w:cs="Arial" w:ascii="Arial" w:hAnsi="Arial"/>
                <w:b/>
                <w:bCs/>
                <w:sz w:val="20"/>
                <w:szCs w:val="20"/>
                <w:lang w:val="lt-LT" w:eastAsia="lt-LT"/>
              </w:rPr>
            </w:r>
          </w:p>
        </w:tc>
        <w:tc>
          <w:tcPr>
            <w:tcW w:w="225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b/>
                <w:sz w:val="20"/>
                <w:szCs w:val="20"/>
                <w:lang w:val="lt-LT" w:eastAsia="lt-LT"/>
              </w:rPr>
            </w:pPr>
            <w:r>
              <w:rPr>
                <w:rFonts w:eastAsia="Calibri" w:cs="Arial" w:ascii="Arial" w:hAnsi="Arial"/>
                <w:b/>
                <w:sz w:val="20"/>
                <w:szCs w:val="20"/>
                <w:lang w:val="lt-LT" w:eastAsia="lt-LT"/>
              </w:rPr>
              <w:t>Iš viso</w:t>
            </w:r>
          </w:p>
        </w:tc>
        <w:tc>
          <w:tcPr>
            <w:tcW w:w="222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b/>
                <w:sz w:val="20"/>
                <w:szCs w:val="20"/>
                <w:lang w:val="lt-LT" w:eastAsia="lt-LT"/>
              </w:rPr>
            </w:pPr>
            <w:r>
              <w:rPr>
                <w:rFonts w:eastAsia="Calibri" w:cs="Arial" w:ascii="Arial" w:hAnsi="Arial"/>
                <w:b/>
                <w:sz w:val="20"/>
                <w:szCs w:val="20"/>
                <w:lang w:val="lt-LT" w:eastAsia="lt-LT"/>
              </w:rPr>
              <w:t>79 962 741</w:t>
            </w:r>
          </w:p>
        </w:tc>
        <w:tc>
          <w:tcPr>
            <w:tcW w:w="2527"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r>
          </w:p>
        </w:tc>
      </w:tr>
      <w:tr>
        <w:trPr>
          <w:trHeight w:val="576" w:hRule="atLeast"/>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t>3.</w:t>
            </w:r>
          </w:p>
        </w:tc>
        <w:tc>
          <w:tcPr>
            <w:tcW w:w="255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1"/>
              </w:numPr>
              <w:spacing w:lineRule="auto" w:line="240" w:before="0" w:after="0"/>
              <w:ind w:hanging="360" w:left="0"/>
              <w:rPr>
                <w:rFonts w:ascii="Arial" w:hAnsi="Arial" w:eastAsia="Calibri" w:cs="Arial"/>
                <w:sz w:val="20"/>
                <w:szCs w:val="20"/>
                <w:lang w:val="lt-LT" w:eastAsia="lt-LT"/>
              </w:rPr>
            </w:pPr>
            <w:r>
              <w:rPr>
                <w:rFonts w:eastAsia="Calibri" w:cs="Arial" w:ascii="Arial" w:hAnsi="Arial"/>
                <w:sz w:val="20"/>
                <w:szCs w:val="20"/>
                <w:lang w:val="lt-LT" w:eastAsia="lt-LT"/>
              </w:rPr>
              <w:t>Papildomų išlaidų draudimas</w:t>
            </w:r>
          </w:p>
        </w:tc>
        <w:tc>
          <w:tcPr>
            <w:tcW w:w="4476" w:type="dxa"/>
            <w:gridSpan w:val="2"/>
            <w:tcBorders>
              <w:top w:val="single" w:sz="4" w:space="0" w:color="000000"/>
              <w:left w:val="single" w:sz="4" w:space="0" w:color="000000"/>
              <w:bottom w:val="single" w:sz="4" w:space="0" w:color="000000"/>
              <w:right w:val="single" w:sz="4" w:space="0" w:color="000000"/>
            </w:tcBorders>
            <w:vAlign w:val="center"/>
          </w:tcPr>
          <w:p>
            <w:pPr>
              <w:pStyle w:val="Normal"/>
              <w:spacing w:lineRule="auto" w:line="36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500 000</w:t>
            </w:r>
          </w:p>
        </w:tc>
        <w:tc>
          <w:tcPr>
            <w:tcW w:w="252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eastAsia="lt-LT"/>
              </w:rPr>
            </w:pPr>
            <w:r>
              <w:rPr>
                <w:rFonts w:eastAsia="Calibri" w:cs="Arial" w:ascii="Arial" w:hAnsi="Arial"/>
                <w:sz w:val="20"/>
                <w:szCs w:val="20"/>
                <w:lang w:val="lt-LT" w:eastAsia="lt-LT"/>
              </w:rPr>
              <w:t>Išmokos limitas kiekvienam įvykiui ir bendrai pagal draudimo sutartį</w:t>
            </w:r>
          </w:p>
        </w:tc>
      </w:tr>
      <w:tr>
        <w:trPr>
          <w:trHeight w:val="576" w:hRule="atLeast"/>
        </w:trPr>
        <w:tc>
          <w:tcPr>
            <w:tcW w:w="69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ascii="Arial" w:hAnsi="Arial" w:eastAsia="Calibri" w:cs="Arial"/>
                <w:sz w:val="20"/>
                <w:szCs w:val="20"/>
                <w:lang w:val="lt-LT"/>
              </w:rPr>
            </w:pPr>
            <w:r>
              <w:rPr>
                <w:rFonts w:eastAsia="Calibri" w:cs="Arial" w:ascii="Arial" w:hAnsi="Arial"/>
                <w:sz w:val="20"/>
                <w:szCs w:val="20"/>
                <w:lang w:val="lt-LT"/>
              </w:rPr>
              <w:t>4.</w:t>
            </w:r>
          </w:p>
        </w:tc>
        <w:tc>
          <w:tcPr>
            <w:tcW w:w="2553" w:type="dxa"/>
            <w:tcBorders>
              <w:top w:val="single" w:sz="4" w:space="0" w:color="000000"/>
              <w:left w:val="single" w:sz="4" w:space="0" w:color="000000"/>
              <w:bottom w:val="single" w:sz="4" w:space="0" w:color="000000"/>
              <w:right w:val="single" w:sz="4" w:space="0" w:color="000000"/>
            </w:tcBorders>
            <w:vAlign w:val="center"/>
          </w:tcPr>
          <w:p>
            <w:pPr>
              <w:pStyle w:val="Normal"/>
              <w:numPr>
                <w:ilvl w:val="0"/>
                <w:numId w:val="1"/>
              </w:numPr>
              <w:spacing w:lineRule="auto" w:line="240" w:before="0" w:after="0"/>
              <w:ind w:hanging="360" w:left="0"/>
              <w:rPr>
                <w:rFonts w:ascii="Arial" w:hAnsi="Arial" w:eastAsia="Calibri" w:cs="Arial"/>
                <w:b/>
                <w:bCs/>
                <w:sz w:val="20"/>
                <w:szCs w:val="20"/>
                <w:lang w:val="lt-LT" w:eastAsia="lt-LT"/>
              </w:rPr>
            </w:pPr>
            <w:r>
              <w:rPr>
                <w:rFonts w:eastAsia="Calibri" w:cs="Arial" w:ascii="Arial" w:hAnsi="Arial"/>
                <w:b/>
                <w:bCs/>
                <w:sz w:val="20"/>
                <w:szCs w:val="20"/>
                <w:lang w:val="lt-LT" w:eastAsia="lt-LT"/>
              </w:rPr>
              <w:t>Visų draudimo objektų suma</w:t>
            </w:r>
          </w:p>
        </w:tc>
        <w:tc>
          <w:tcPr>
            <w:tcW w:w="7003" w:type="dxa"/>
            <w:gridSpan w:val="3"/>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rPr>
                <w:rFonts w:ascii="Arial" w:hAnsi="Arial" w:eastAsia="Calibri" w:cs="Arial"/>
                <w:sz w:val="20"/>
                <w:szCs w:val="20"/>
                <w:lang w:val="lt-LT" w:eastAsia="lt-LT"/>
              </w:rPr>
            </w:pPr>
            <w:r>
              <w:rPr>
                <w:rFonts w:eastAsia="Calibri" w:cs="Arial" w:ascii="Arial" w:hAnsi="Arial"/>
                <w:b/>
                <w:bCs/>
                <w:sz w:val="20"/>
                <w:szCs w:val="20"/>
                <w:lang w:val="lt-LT" w:eastAsia="lt-LT"/>
              </w:rPr>
              <w:t xml:space="preserve">                            </w:t>
            </w:r>
            <w:r>
              <w:rPr>
                <w:rFonts w:eastAsia="Calibri" w:cs="Arial" w:ascii="Arial" w:hAnsi="Arial"/>
                <w:b/>
                <w:bCs/>
                <w:sz w:val="20"/>
                <w:szCs w:val="20"/>
                <w:lang w:val="lt-LT" w:eastAsia="lt-LT"/>
              </w:rPr>
              <w:t>147 413 556</w:t>
            </w:r>
          </w:p>
        </w:tc>
      </w:tr>
    </w:tbl>
    <w:p>
      <w:pPr>
        <w:pStyle w:val="Normal"/>
        <w:rPr>
          <w:lang w:val="lt-LT" w:eastAsia="lt-LT"/>
        </w:rPr>
      </w:pPr>
      <w:r>
        <w:rPr>
          <w:lang w:val="lt-LT" w:eastAsia="lt-LT"/>
        </w:rPr>
      </w:r>
    </w:p>
    <w:p>
      <w:pPr>
        <w:pStyle w:val="Normal"/>
        <w:tabs>
          <w:tab w:val="clear" w:pos="720"/>
          <w:tab w:val="left" w:pos="1276"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1"/>
          <w:numId w:val="7"/>
        </w:numPr>
        <w:tabs>
          <w:tab w:val="clear" w:pos="720"/>
          <w:tab w:val="left" w:pos="851" w:leader="none"/>
          <w:tab w:val="left" w:pos="1276" w:leader="none"/>
        </w:tabs>
        <w:spacing w:lineRule="auto" w:line="240" w:before="0" w:after="0"/>
        <w:ind w:hanging="0" w:left="426"/>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TS prieduose Nr. 1 ir Nr. 2 nurodytas draudimo objektų kiekis. Sutarties pasirašymo momentu gali kisti iki 5 proc.</w:t>
      </w:r>
    </w:p>
    <w:p>
      <w:pPr>
        <w:pStyle w:val="Normal"/>
        <w:tabs>
          <w:tab w:val="clear" w:pos="720"/>
          <w:tab w:val="left" w:pos="851" w:leader="none"/>
          <w:tab w:val="left" w:pos="1276"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1"/>
          <w:numId w:val="7"/>
        </w:numPr>
        <w:tabs>
          <w:tab w:val="clear" w:pos="720"/>
          <w:tab w:val="left" w:pos="851" w:leader="none"/>
          <w:tab w:val="left" w:pos="1276" w:leader="none"/>
        </w:tabs>
        <w:spacing w:lineRule="auto" w:line="240" w:before="0" w:after="0"/>
        <w:ind w:hanging="0" w:left="426"/>
        <w:contextualSpacing/>
        <w:jc w:val="both"/>
        <w:rPr>
          <w:rFonts w:ascii="Arial" w:hAnsi="Arial" w:cs="Arial"/>
          <w:b/>
          <w:sz w:val="20"/>
          <w:szCs w:val="20"/>
          <w:lang w:val="lt-LT"/>
        </w:rPr>
      </w:pPr>
      <w:r>
        <w:rPr>
          <w:rFonts w:eastAsia="Calibri" w:cs="Arial" w:ascii="Arial" w:hAnsi="Arial"/>
          <w:sz w:val="20"/>
          <w:szCs w:val="20"/>
          <w:lang w:val="lt-LT" w:eastAsia="lt-LT"/>
        </w:rPr>
        <w:t xml:space="preserve">Pasirašius Sutartį, Draudikas įsipareigoja iki 2026 m. spalio 22 d. (imtinai) parengti galutinį draudimo liudijimą ir pateikti jį Draudėjui. </w:t>
      </w:r>
    </w:p>
    <w:p>
      <w:pPr>
        <w:pStyle w:val="Normal"/>
        <w:tabs>
          <w:tab w:val="clear" w:pos="720"/>
          <w:tab w:val="left" w:pos="851" w:leader="none"/>
          <w:tab w:val="left" w:pos="1276" w:leader="none"/>
        </w:tabs>
        <w:spacing w:lineRule="auto" w:line="240" w:before="0" w:after="0"/>
        <w:jc w:val="both"/>
        <w:rPr>
          <w:rFonts w:ascii="Arial" w:hAnsi="Arial" w:cs="Arial"/>
          <w:b/>
          <w:sz w:val="20"/>
          <w:szCs w:val="20"/>
          <w:lang w:val="lt-LT"/>
        </w:rPr>
      </w:pPr>
      <w:r>
        <w:rPr>
          <w:rFonts w:cs="Arial" w:ascii="Arial" w:hAnsi="Arial"/>
          <w:b/>
          <w:sz w:val="20"/>
          <w:szCs w:val="20"/>
          <w:lang w:val="lt-LT"/>
        </w:rPr>
      </w:r>
    </w:p>
    <w:p>
      <w:pPr>
        <w:pStyle w:val="ListParagraph"/>
        <w:numPr>
          <w:ilvl w:val="1"/>
          <w:numId w:val="7"/>
        </w:numPr>
        <w:tabs>
          <w:tab w:val="clear" w:pos="720"/>
          <w:tab w:val="left" w:pos="851" w:leader="none"/>
          <w:tab w:val="left" w:pos="1276" w:leader="none"/>
        </w:tabs>
        <w:spacing w:lineRule="auto" w:line="240" w:before="0" w:after="0"/>
        <w:ind w:hanging="0" w:left="426"/>
        <w:contextualSpacing/>
        <w:jc w:val="both"/>
        <w:rPr>
          <w:rFonts w:ascii="Arial" w:hAnsi="Arial" w:cs="Arial"/>
          <w:b/>
          <w:sz w:val="20"/>
          <w:szCs w:val="20"/>
          <w:lang w:val="lt-LT"/>
        </w:rPr>
      </w:pPr>
      <w:r>
        <w:rPr>
          <w:rFonts w:cs="Arial" w:ascii="Arial" w:hAnsi="Arial"/>
          <w:b/>
          <w:sz w:val="20"/>
          <w:szCs w:val="20"/>
          <w:lang w:val="lt-LT"/>
        </w:rPr>
        <w:t>Draudimo objektui nepriskiriama</w:t>
      </w:r>
    </w:p>
    <w:p>
      <w:pPr>
        <w:pStyle w:val="ListParagraph"/>
        <w:spacing w:lineRule="auto" w:line="240" w:before="0" w:after="0"/>
        <w:ind w:left="357"/>
        <w:contextualSpacing/>
        <w:jc w:val="both"/>
        <w:rPr>
          <w:rFonts w:ascii="Arial" w:hAnsi="Arial" w:cs="Arial"/>
          <w:sz w:val="20"/>
          <w:szCs w:val="20"/>
          <w:lang w:val="lt-LT"/>
        </w:rPr>
      </w:pPr>
      <w:r>
        <w:rPr>
          <w:rFonts w:cs="Arial" w:ascii="Arial" w:hAnsi="Arial"/>
          <w:sz w:val="20"/>
          <w:szCs w:val="20"/>
          <w:lang w:val="lt-LT"/>
        </w:rPr>
        <w:t>Jeigu šalys nesusitaria kitaip, tai draudimo objektui nepriskiriamas šis turtas:</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bet kokios rūšies ir paskirties kilnojamasis turtas;</w:t>
      </w:r>
    </w:p>
    <w:p>
      <w:pPr>
        <w:pStyle w:val="Normal"/>
        <w:spacing w:lineRule="auto" w:line="240" w:before="0" w:after="0"/>
        <w:ind w:left="717"/>
        <w:jc w:val="both"/>
        <w:rPr>
          <w:rFonts w:ascii="Arial" w:hAnsi="Arial" w:cs="Arial"/>
          <w:sz w:val="20"/>
          <w:szCs w:val="20"/>
          <w:lang w:val="lt-LT"/>
        </w:rPr>
      </w:pPr>
      <w:r>
        <w:rPr>
          <w:rFonts w:cs="Arial" w:ascii="Arial" w:hAnsi="Arial"/>
          <w:sz w:val="20"/>
          <w:szCs w:val="20"/>
          <w:lang w:val="lt-LT"/>
        </w:rPr>
        <w:t>Kilnojamasis turtas – visas materialus turtas, išskyrus nekilnojamąjį turtą, apibrėžtą 2.1. punkte.</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visų rūšių kelių transporto priemonės, Vyriausybės nustatyta tvarka registruojamos atitinkamose institucijose;</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orlaiviai, laivai, geležinkelio riedmenys;</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žemės sklypai;</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augalai bei gyvūnai;</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plaustai ir statiniai, pastatyti ant plaustų;</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grynieji pinigai, kreditinės kortelės, vertybiniai popieriai;</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 xml:space="preserve">pastatai / statiniai, kurie oficialių institucijų pripažinti avarinės būklės, taip pat tokiuose pastatuose esantis turtas; </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pastatai / statiniai skirti nugriovimui, taip pat tokiuose pastatuose esantis turtas;</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pastatai / statiniai, pastatyti savavališkai, negavus leidimo statybai ir be suderinto statybos projekto, kaip to reikalauja įstatymai, taip pat tokiuose pastatuose esantis turtas;</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pastatai / statiniai, kurie Draudėjo dar nėra baigti įsisavinti, t. y. nėra baigti statyti, montuoti, komplektuoti ir nėra priduoti eksploatacijai (nebaigta statyba), taip pat tokiuose pastatuose esantis turtas;</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rekreaciniai objektai, išskyrus dėl kurių draudimo susitarta ir jie įtraukti į apdraudžiamų objektų sąrašą;</w:t>
      </w:r>
    </w:p>
    <w:p>
      <w:pPr>
        <w:pStyle w:val="ListParagraph"/>
        <w:numPr>
          <w:ilvl w:val="0"/>
          <w:numId w:val="8"/>
        </w:numPr>
        <w:spacing w:lineRule="auto" w:line="240" w:before="0" w:after="0"/>
        <w:contextualSpacing/>
        <w:jc w:val="both"/>
        <w:rPr>
          <w:rFonts w:ascii="Arial" w:hAnsi="Arial" w:cs="Arial"/>
          <w:sz w:val="20"/>
          <w:szCs w:val="20"/>
          <w:lang w:val="lt-LT"/>
        </w:rPr>
      </w:pPr>
      <w:r>
        <w:rPr>
          <w:rFonts w:cs="Arial" w:ascii="Arial" w:hAnsi="Arial"/>
          <w:sz w:val="20"/>
          <w:szCs w:val="20"/>
          <w:lang w:val="lt-LT"/>
        </w:rPr>
        <w:t>kiemo statiniai, inžineriniai tinklai ir komunikacijos sklype ir už jo ribų, medžiotojų nameliai, visų tipų gaisrų stebėjimo bokštai.</w:t>
      </w:r>
    </w:p>
    <w:p>
      <w:pPr>
        <w:pStyle w:val="ListParagraph"/>
        <w:spacing w:lineRule="auto" w:line="240" w:before="0" w:after="0"/>
        <w:ind w:left="357"/>
        <w:contextualSpacing/>
        <w:jc w:val="both"/>
        <w:rPr>
          <w:rFonts w:ascii="Arial" w:hAnsi="Arial" w:eastAsia="Calibri" w:cs="Arial"/>
          <w:sz w:val="20"/>
          <w:szCs w:val="20"/>
          <w:lang w:val="lt-LT"/>
        </w:rPr>
      </w:pPr>
      <w:r>
        <w:rPr>
          <w:rFonts w:eastAsia="Calibri" w:cs="Arial" w:ascii="Arial" w:hAnsi="Arial"/>
          <w:sz w:val="20"/>
          <w:szCs w:val="20"/>
          <w:lang w:val="lt-LT"/>
        </w:rPr>
      </w:r>
    </w:p>
    <w:p>
      <w:pPr>
        <w:pStyle w:val="ListParagraph"/>
        <w:numPr>
          <w:ilvl w:val="1"/>
          <w:numId w:val="7"/>
        </w:numPr>
        <w:spacing w:lineRule="auto" w:line="240" w:before="0" w:after="0"/>
        <w:ind w:hanging="491" w:left="851"/>
        <w:contextualSpacing/>
        <w:jc w:val="both"/>
        <w:rPr>
          <w:rFonts w:ascii="Arial" w:hAnsi="Arial" w:cs="Arial"/>
          <w:b/>
          <w:sz w:val="20"/>
          <w:szCs w:val="20"/>
          <w:lang w:val="lt-LT"/>
        </w:rPr>
      </w:pPr>
      <w:r>
        <w:rPr>
          <w:rFonts w:cs="Arial" w:ascii="Arial" w:hAnsi="Arial"/>
          <w:b/>
          <w:sz w:val="20"/>
          <w:szCs w:val="20"/>
          <w:lang w:val="lt-LT"/>
        </w:rPr>
        <w:t>Kitos sąlygos</w:t>
      </w:r>
    </w:p>
    <w:p>
      <w:pPr>
        <w:pStyle w:val="Normal"/>
        <w:spacing w:lineRule="auto" w:line="240" w:before="0" w:after="0"/>
        <w:jc w:val="both"/>
        <w:rPr>
          <w:rFonts w:ascii="Arial" w:hAnsi="Arial" w:cs="Arial"/>
          <w:b/>
          <w:sz w:val="20"/>
          <w:szCs w:val="20"/>
          <w:lang w:val="lt-LT"/>
        </w:rPr>
      </w:pPr>
      <w:r>
        <w:rPr>
          <w:rFonts w:cs="Arial" w:ascii="Arial" w:hAnsi="Arial"/>
          <w:b/>
          <w:sz w:val="20"/>
          <w:szCs w:val="20"/>
          <w:lang w:val="lt-LT"/>
        </w:rPr>
      </w:r>
    </w:p>
    <w:p>
      <w:pPr>
        <w:pStyle w:val="ListParagraph"/>
        <w:numPr>
          <w:ilvl w:val="2"/>
          <w:numId w:val="7"/>
        </w:numPr>
        <w:spacing w:lineRule="auto" w:line="240" w:before="0" w:after="0"/>
        <w:contextualSpacing/>
        <w:jc w:val="both"/>
        <w:rPr>
          <w:rFonts w:ascii="Arial" w:hAnsi="Arial" w:cs="Arial"/>
          <w:b/>
          <w:sz w:val="20"/>
          <w:szCs w:val="20"/>
          <w:lang w:val="lt-LT"/>
        </w:rPr>
      </w:pPr>
      <w:r>
        <w:rPr>
          <w:rFonts w:cs="Arial" w:ascii="Arial" w:hAnsi="Arial"/>
          <w:b/>
          <w:sz w:val="20"/>
          <w:szCs w:val="20"/>
          <w:lang w:val="lt-LT"/>
        </w:rPr>
        <w:t>Draudimo sutarties galiojimo laikotarpis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Sutartis sudaroma 12 (dvylikai) mėnesių. Likus ne mažiau kaip 70 (septyniasdešimt) kalendorinių dienų iki sutarties galiojimo pabaigos Draudikas įsipareigoja informuoti Draudėją apie sutarties pabaigą. </w:t>
      </w:r>
    </w:p>
    <w:p>
      <w:pPr>
        <w:pStyle w:val="Normal"/>
        <w:spacing w:lineRule="auto" w:line="240" w:before="0" w:after="0"/>
        <w:jc w:val="both"/>
        <w:rPr>
          <w:rFonts w:ascii="Arial" w:hAnsi="Arial" w:eastAsia="Calibri" w:cs="Arial"/>
          <w:b/>
          <w:sz w:val="20"/>
          <w:szCs w:val="20"/>
          <w:lang w:val="lt-LT"/>
        </w:rPr>
      </w:pPr>
      <w:r>
        <w:rPr>
          <w:rFonts w:eastAsia="Calibri" w:cs="Arial" w:ascii="Arial" w:hAnsi="Arial"/>
          <w:b/>
          <w:sz w:val="20"/>
          <w:szCs w:val="20"/>
          <w:lang w:val="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 xml:space="preserve">Draudžiamasis įvykis </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Draudžiamasis įvykis turto draudime yra apdrausto turto fizinis sunaikinimas, sugadinimas ar praradimas draudimo laikotarpiu dėl bet kokio staigaus ir netikėto įvykio, išskyrus nedraudžiamuosius įvykius. </w:t>
      </w:r>
    </w:p>
    <w:p>
      <w:pPr>
        <w:pStyle w:val="ListParagraph"/>
        <w:spacing w:lineRule="auto" w:line="240" w:before="0" w:after="0"/>
        <w:ind w:left="1440"/>
        <w:contextualSpacing/>
        <w:jc w:val="both"/>
        <w:rPr>
          <w:rFonts w:ascii="Arial" w:hAnsi="Arial" w:eastAsia="Calibri" w:cs="Arial"/>
          <w:sz w:val="20"/>
          <w:szCs w:val="20"/>
          <w:lang w:val="lt-LT"/>
        </w:rPr>
      </w:pPr>
      <w:r>
        <w:rPr>
          <w:rFonts w:eastAsia="Calibri" w:cs="Arial" w:ascii="Arial" w:hAnsi="Arial"/>
          <w:sz w:val="20"/>
          <w:szCs w:val="20"/>
          <w:lang w:val="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Nedraudžiamieji įvykiai</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Nedraudžiamieji įvykiai turto draudime yra atvejai, kai nuostolis apdraustam turtui padaromas dėl:</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Draudėjo ar Naudos gavėjo tyčios;</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karo veiksmų, ypatingosios padėties dėl karo įvedimo, masinių riaušių, streiko, lokauto, terorizmo, radioaktyvaus spinduliavimo ar kitokio branduolinės energijos poveikio;</w:t>
      </w:r>
    </w:p>
    <w:p>
      <w:pPr>
        <w:pStyle w:val="ListParagraph"/>
        <w:tabs>
          <w:tab w:val="clear" w:pos="720"/>
          <w:tab w:val="left" w:pos="420" w:leader="none"/>
        </w:tabs>
        <w:spacing w:lineRule="auto" w:line="240" w:before="0" w:after="0"/>
        <w:ind w:left="216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Terorizmas - asmens ar asmenų neteisėti prievartos veiksmai, dėl kurių padaroma žala, arba grasinimai atlikti tokius veiksmus politiniais, religiniais ar ideologiniais tikslais;</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turto konfiskavimo, arešto ar jo sunaikinimo valdžios institucijų nurodymu;</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Draudėjui ar jo pavedimu veikiančiam asmeniui naudojant sprogstamą įtaisą gamybos proceso metu (vykdant kasybos, statybos, remonto, griovimo, išmontavimo ir pan. darbus);</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neišvengiamų natūralių procesų, tokių kaip mikroorganizmų poveikio, korozijos, erozijos, rūdijimo, puvimo, natūralaus nusidėvėjimo, grybelio, išgaravimo, svorio netekimo, struktūros, spalvos ar kvapo pasikeitimo. Ši išimtis taikoma tik tiesiogiai dėl šių procesų sunaikintam, sugadintam ar prarastam turtui ir nėra taikoma turtui, kuris sunaikintas, sugadintas ar prarastas dėl draudžiamojo įvykio, įvykusio dėl šių procesų;</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brokuotų, netinkamų dalių, medžiagų, įrengimų naudojimo, jeigu draudėjas apie šias aplinkybes žinojo;</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kilnojamojo turto, esančio lauke, stoginėse, atviruose priestatuose, statiniuose, dengtuose tik audiniais, plastmasine plėvele ar pan. medžiaga, sunaikinimas, sugadinimas ar praradimas dėl lietaus, sniego, kitokių kritulių ar audros, išskyrus atvejus, kai šis turtas yra pritaikytas naudoti ar saugoti nedengtas lauke, stoginėse, atviruose priestatuose, statiniuose, dengtuose tik audiniais, plastmasine plėvele ar pan. medžiaga;</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lietaus, krušos, sniego, purvo, vandens ar vandens nešamų daiktų įsiveržimo pro nesandariai ar nevisiškai uždarytus langus, lauko duris ar kitas angas bei nesandarumus, išskyrus atvejus, kai šios angos ar nesandarumai atsirado dėl draudžiamojo įvykio;</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grunto nusėdimo, pamatų poslinkio ar pastatų konstrukcijų skilimo, išskyrus atvejus, kai tai atsitinka dėl draudžiamojo įvykio;</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grunto tyrimo arba projektavimo klaidų, klaidų statant, montuojant, rekonstruojant, renovuojant apdraustą turtą. Draudimo išmoka nemokama tik už nuostolius projektavimo, statybos ar montavimo klaidų turinčioms turto dalims ir nėra taikoma kitoms šių klaidų neturinčioms apdrausto turto dalims, kurios yra sugadinamos, sunaikinamos ar prarandamos dėl klaidų turinčios apdrausto turto dalies sukelto draudžiamojo įvykio;</w:t>
      </w:r>
    </w:p>
    <w:p>
      <w:pPr>
        <w:pStyle w:val="ListParagraph"/>
        <w:tabs>
          <w:tab w:val="clear" w:pos="720"/>
          <w:tab w:val="left" w:pos="420" w:leader="none"/>
        </w:tabs>
        <w:spacing w:lineRule="auto" w:line="240" w:before="0" w:after="0"/>
        <w:ind w:left="216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Turto dalis - tai smulkiausia konstrukcinio elemento ar įrenginio dalis, medžiaga, montuotino įrenginio detalė ar dalis, kurios trūkumas ir/ar defektas sukėlė turto sugadinimą ar sunaikinimą;</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požeminių vandenų lygio pasikeitimo; </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vagystės, išskyrus vagystę įsilaužus bei plėšimą.</w:t>
      </w:r>
    </w:p>
    <w:p>
      <w:pPr>
        <w:pStyle w:val="ListParagraph"/>
        <w:numPr>
          <w:ilvl w:val="0"/>
          <w:numId w:val="15"/>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Vagystė įsilaužus - turto pagrobimas įsilaužus į užrakintą patalpą, saugyklą, talpą, seifą ar saugomą teritoriją; turto pagrobimas iš užrakintos patalpos prieš jos užrakinimą į ją įsigavus ar ten pasislėpus; taip pat turto pagrobimas įsibrovus į užrakintą patalpą, saugyklą, talpą, seifą ar saugomą teritoriją panaudojus padirbtą raktą ar tikrą raktą, kuris pagrobtas vagystės įsilaužus arba plėšimo metu ir tik tais atvejais, kai dėl šio fakto pranešta policijai.</w:t>
      </w:r>
    </w:p>
    <w:p>
      <w:pPr>
        <w:pStyle w:val="ListParagraph"/>
        <w:numPr>
          <w:ilvl w:val="0"/>
          <w:numId w:val="15"/>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Plėšimas - turto pagrobimas panaudojus fizinį smurtą ar grasinant jį panaudoti tuoj pat arba kitaip atimant galimybę draudėjui ar jo atstovui priešintis. Draudėjo atstovais šiuo atveju laikomi asmenys, kuriems draudėjas pavedė valdyti ar pervežti apdraustą turtą, saugoti draudimo vietą (patalpas, teritoriją) ar apdraustą turtą.</w:t>
      </w:r>
    </w:p>
    <w:p>
      <w:pPr>
        <w:pStyle w:val="ListParagraph"/>
        <w:numPr>
          <w:ilvl w:val="0"/>
          <w:numId w:val="15"/>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Vagystė - bet koks neteisėtas, neatlygintinis svetimo turto (draudimo objekto) paėmimas iš teisėto valdytojo tikslu juo naudotis ar disponuoti kaip savu.</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pametimo, dingimo, trūkumų;</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sukčiavimo, turto prievartavimo, pasisavinimo, iššvaistymo, kaip tai apibrėžia Lietuvos Respublikos baudžiamasis kodeksas;</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žemės drebėjimo, kai žemės judėjimo intensyvumas, žalos apdraustam turtui padarymo vietoje, Richterio skalėje yra mažesnis nei 6 (šeši) balai arba modifikuotoje Mercalli skalėje yra mažesnis nei 7 (septyni) balai;</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turto vidaus gedimų, kai žala atsiranda ne dėl išorinių jėgų poveikio apdraustam turtui. Draudimo išmoka nemokama tik už turtą, sugadintą, sunaikintą ar prarastą tiesiogiai dėl šio poveikio, tačiau žala kitam apdraustam turtui, kuri atsirado dėl vidaus gedimo sukelto draudžiamojo įvykio, yra atlyginama;</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turto projektinio apkrovimo sąmoningo viršijimo, išskyrus atvejus, kai aplinkybės nepriklauso nuo Draudėjo;</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elektros energijos, dujų, skysčių, šilumos, kitų gamybai (veiklai) reikalingų elementų tiekimo nutrūkimo ar nepakankamo tiekimo;</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programų, duomenų bazių, esančių kompiuteriuose ar kitokiuose įrenginiuose, sunaikinimo, sugadinimo ar praradimo, išskyrus atvejus, kai patys įrenginiai ar duomenų laikmenos sunaikinami, sugadinami ar prarandami dėl draudžiamojo įvykio;</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augalų, gyvūnų, paukščių, vabzdžių ar parazitų tiesioginio poveikio. Draudimo išmoka nemokama tik už turtą, sugadintą, sunaikintą ar prarastą tiesiogiai dėl šio poveikio, tačiau pasekminė žala kitam apdraustam turtui yra atlyginama;</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trūkumų, kuriuos, pagal garantinį įsipareigojimą, privalo pašalinti bei išlaidų, kurias, pagal garantinį įsipareigojimą, privalo padengti gamintojas, pardavėjas, tiekėjas, rangovas, montuotojas, garantinį ar techninį aptarnavimą vykdanti įmonė. Jeigu draudėjas apdraustą turtą ar jo dalį pagamino pats, tai jis prilyginamas šiame punkte išvardintiems asmenims;</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draudimo išmoka nemokama už apdrausto turto dalis, kurios pagal savo paskirtį ir darbo pobūdį susinaudoja, dyla ar kitaip nusidėvi ir eksploatuojant apdraustą turtą būna periodiškai keičiamos (pvz., grąžtai, šlifavimo diskai, filtrai, guoliai, šepečiai, diržai ir pan.), išskyrus atvejus kai kartu sugadinamos, sunaikinamos ir prarandamos kitos apdrausto turto dalys;</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apdrausto turto sugadinimas ar praradimas, kai šis turtas yra montuojamas ar demontuojamas. Draudimo išmoka nemokama tik už patį montuojamą ar demontuojamą turtą;</w:t>
      </w:r>
    </w:p>
    <w:p>
      <w:pPr>
        <w:pStyle w:val="ListParagraph"/>
        <w:numPr>
          <w:ilvl w:val="2"/>
          <w:numId w:val="3"/>
        </w:numPr>
        <w:tabs>
          <w:tab w:val="clear" w:pos="720"/>
          <w:tab w:val="left" w:pos="420"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neteisingo (netinkamo) ar/ir neteisėto duomenų ar elektroninio duomenų apdorojimo bei programų naudojimo, kompiuterinių virusų ar/ir kibernetinių atakų, piktavališkai pakeičiant ar papildant duomenis Draudėjo elektroninio duomenų apdorojimo sistemoje.</w:t>
      </w:r>
    </w:p>
    <w:p>
      <w:pPr>
        <w:pStyle w:val="ListParagraph"/>
        <w:tabs>
          <w:tab w:val="clear" w:pos="720"/>
          <w:tab w:val="left" w:pos="420" w:leader="none"/>
        </w:tabs>
        <w:spacing w:lineRule="auto" w:line="240" w:before="0" w:after="0"/>
        <w:ind w:left="216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Duomenų apdorojimo sistema – kompiuteriai (elektroninės skaičiavimo mašinos), kitokia skaičiavimo, elektroninė ir/ar mechaninė įranga, kuri yra prijungta prie kompiuterio, kompiuterio aparatinė dalis, programinė įranga, elektroniniai duomenų apdorojimo įrenginiai ir visa kita, kieno darbas visiškai ar iš dalies priklauso nuo integroscheminės sistemos (integruotų schemų bei mikrokontrolerių).</w:t>
      </w:r>
    </w:p>
    <w:p>
      <w:pPr>
        <w:pStyle w:val="ListParagraph"/>
        <w:numPr>
          <w:ilvl w:val="2"/>
          <w:numId w:val="3"/>
        </w:numPr>
        <w:rPr>
          <w:rFonts w:ascii="Arial" w:hAnsi="Arial" w:eastAsia="Calibri" w:cs="Arial"/>
          <w:sz w:val="20"/>
          <w:szCs w:val="20"/>
          <w:lang w:val="lt-LT" w:eastAsia="lt-LT"/>
        </w:rPr>
      </w:pPr>
      <w:r>
        <w:rPr>
          <w:rFonts w:eastAsia="Calibri" w:cs="Arial" w:ascii="Arial" w:hAnsi="Arial"/>
          <w:sz w:val="20"/>
          <w:szCs w:val="20"/>
          <w:lang w:val="lt-LT" w:eastAsia="lt-LT"/>
        </w:rPr>
        <w:t>draudimo apsauga netaikoma visoms 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šią sutartį raštu pranešęs kitai šaliai. Sutartis nutraukiama po 14 dienų nuo tos dienos, kai kita šalis gauna pranešimą apie sutarties nutraukimą. Tuo atveju, kai pranešimo pristatyti neįmanoma (arba pranešimas nepasiekia adresato) dėl komunikacijos (susisiekimo) priemonių darbo sutrikimo, laikoma, kad pranešimas apie nutraukimą gautas tuomet, kai tik jis buvo išsiųstas arba buvo ketinama jį išsiųsti.</w:t>
      </w:r>
    </w:p>
    <w:p>
      <w:pPr>
        <w:pStyle w:val="Normal"/>
        <w:tabs>
          <w:tab w:val="clear" w:pos="720"/>
          <w:tab w:val="left" w:pos="420" w:leader="none"/>
        </w:tabs>
        <w:spacing w:lineRule="auto" w:line="240" w:before="0" w:after="0"/>
        <w:ind w:left="180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Normal"/>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Draudimo apsaugos siaurinimas neeksploatuojamiems objektams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Neeksploatuojami pastatai ar neeksploatuojamos  patalpos draudžiamos tik nuo ugnies (gaisro, sprogimo, žaibo įtrenkimo) bei nuo gamtinių jėgų (audros, potvynio, liūties, krušos, sniego slėgio, grunto slūgio, nuošliaužos, medžio užvirtimo) rizikos. </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Draudimo apsauga nuo gamtinių jėgų negalioja, jeigu ne visos išorinės pastato atitvarinės konstrukcijos (stogas, sienos ir pan.) yra sandarios arba ne visos išorinės durys ir langai yra sumontuoti arba angos užsandarintos. </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Jeigu neeksploatuojami pastatai ar patalpos saugomos turto saugos signalizacijos, pajungtos į saugos tarnybos ar sargo pultą, tai draudimo apsauga taip pat galioja ir nuo trečiųjų asmenų neteisėtos veikos.</w:t>
      </w:r>
    </w:p>
    <w:p>
      <w:pPr>
        <w:pStyle w:val="Normal"/>
        <w:tabs>
          <w:tab w:val="clear" w:pos="720"/>
          <w:tab w:val="left" w:pos="2837"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tab/>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Gaisras – ugnies atsiradimas ne šiam tikslui skirtame židinyje; dūmų ar suodžių, staigus ir netikėtas išsiveržimas iš gaisro vietos;</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Sprogimas – dujų ar garų plėtimosi savybe pagrįstas staiga vykstančiu jėgos pasireiškimu. Draudikas neatlygina nuostolių dėl subatmosferinio slėgio bei sprogimo vidaus degimo varikliuose;</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Žaibo įtrenkimas – tiesioginė žaibo iškrova į apdraustą turtą. Taip pat atlyginami nuostoliai, kai dėl žaibo trenkimo į medžius, pastatus, įrengimus ir pan. jie ar jų dalys užvirsta ir sugadina ar sunaikina apdraustą turtą;</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Audra – stiprus vėjas, kai vėjo greitis 20 m/s ir didesnis;</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Potvynis – vandens pakilimas upėse, ežeruose arba kanaluose;</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Liūtis – trumpalaikis labai smarkus lietus, kai per 1 val. ar trumpesnį laiką iškrinta 30 mm ir daugiau kritulių;</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Kruša – ledo gabaliukų krituliai, kurie dažniausiai iškrenta šiltuoju metų laiku;</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Sniego slėgis – nebūdingas vietovei smarkus snygis, kai per 12 val. ar trumpesnį laiką iškrinta 20 mm ar daugiau kritulių, ir sniegas savo svoriu sugadina ar sunaikina apdraustą turtą;</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Grunto slūgis – vietovės taško absoliučios altitudės sumažėjimas dėl karstinių reiškinių;</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Nuošliaužos – liūties ar audros sukeltas uolienų masės atitrūkimas ir nuslinkimas šlaitu žemyn;</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Medžio užvirtimas – medžio ar jo dalių užkritimas ant apdrausto objekto;</w:t>
      </w:r>
    </w:p>
    <w:p>
      <w:pPr>
        <w:pStyle w:val="ListParagraph"/>
        <w:numPr>
          <w:ilvl w:val="0"/>
          <w:numId w:val="5"/>
        </w:numPr>
        <w:jc w:val="both"/>
        <w:rPr>
          <w:rFonts w:ascii="Arial" w:hAnsi="Arial" w:eastAsia="Calibri" w:cs="Arial"/>
          <w:sz w:val="20"/>
          <w:szCs w:val="20"/>
          <w:lang w:val="lt-LT" w:eastAsia="lt-LT"/>
        </w:rPr>
      </w:pPr>
      <w:r>
        <w:rPr>
          <w:rFonts w:eastAsia="Calibri" w:cs="Arial" w:ascii="Arial" w:hAnsi="Arial"/>
          <w:sz w:val="20"/>
          <w:szCs w:val="20"/>
          <w:lang w:val="lt-LT" w:eastAsia="lt-LT"/>
        </w:rPr>
        <w:t>Trečiųjų asmenų neteisėta veika – tai trečiųjų asmenų neteisėti veiksmai, kai padaroma žala apdraustam turtui, išskyrus nedraudžiamuosius atvejus, paminėtus Nedraudžiamųjų įvykių sąraše.</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Kai draudimo vietoje negalima nustatyti vėjo greičio ar liūties, krušos, sniego slėgio kiekio, tai išvada kai apdraustas turtas sunaikintas, sugadintas ar prarastas dėl vėjo, liūties, krušos ar sniego slėgio daroma tada, kai panašių nuostolių apdraustiems objektams galėjo padaryti tik akivaizdžiai šios gamtos jėgos, atsižvelgiant ir į įvykio vietai artimiausios hidrometeorologijos stoties pateiktus duomenis.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Išskaita</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Visiems draudžiamiesiems įvykiams yra taikoma 1 000 Eur išskaita, išskyrus 10 000 Eur ugnies rizikai medienos perdirbimo objektams (gamybiniams ar sandėliavimo pastatams / patalpoms). </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Jeigu draudžiamas įvykis įvyko dėl trečiųjų asmenų veiksmų ir yra nustatyti kaltininkai, draudimo išmoka mokama neišskaičiuojant išskaitos (franšizės). Jeigu atgaunama ne visa išmokėta suma iš kaltojo asmens, tai Draudikas kompensuoja Draudėjui pritaikytą išskaitą (franšizę) tokia pačia proporcija, koks yra santykis tarp atgautos ir išmokėtos išmokos, tačiau neviršijant nustatytų sumų (1 000 Eur ir 10 000 Eur).</w:t>
      </w:r>
    </w:p>
    <w:p>
      <w:pPr>
        <w:pStyle w:val="ListParagraph"/>
        <w:spacing w:lineRule="auto" w:line="240" w:before="0" w:after="0"/>
        <w:ind w:left="780"/>
        <w:contextualSpacing/>
        <w:jc w:val="both"/>
        <w:rPr>
          <w:rFonts w:ascii="Arial" w:hAnsi="Arial" w:eastAsia="Calibri" w:cs="Arial"/>
          <w:sz w:val="20"/>
          <w:szCs w:val="20"/>
          <w:lang w:val="lt-LT"/>
        </w:rPr>
      </w:pPr>
      <w:r>
        <w:rPr>
          <w:rFonts w:eastAsia="Calibri" w:cs="Arial" w:ascii="Arial" w:hAnsi="Arial"/>
          <w:sz w:val="20"/>
          <w:szCs w:val="20"/>
          <w:lang w:val="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Klaidos dėl sutarties sąlygų</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Jei sugadinamas, sunaikinamas ar prarandamas Draudimo objektas arba / ir Draudėjui priklausantis turtas, esantis draudimo vietoje ir išmoka už tai nemokama arba sumažinama tik:</w:t>
      </w:r>
    </w:p>
    <w:p>
      <w:pPr>
        <w:pStyle w:val="ListParagraph"/>
        <w:numPr>
          <w:ilvl w:val="2"/>
          <w:numId w:val="3"/>
        </w:numPr>
        <w:spacing w:lineRule="auto" w:line="240" w:before="0" w:after="0"/>
        <w:ind w:hanging="357" w:left="714"/>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dėl kokios nors klaidos ar netyčinio aplaidumo, susijusio su šia sutartimi drausto turto vieta, jo aprašymu, jei tokia klaida ar aplaidumas egzistavo šios draudimo sutarties galiojimo laikotarpio pradžioje; arba</w:t>
      </w:r>
    </w:p>
    <w:p>
      <w:pPr>
        <w:pStyle w:val="ListParagraph"/>
        <w:numPr>
          <w:ilvl w:val="2"/>
          <w:numId w:val="3"/>
        </w:numPr>
        <w:spacing w:lineRule="auto" w:line="240" w:before="0" w:after="0"/>
        <w:ind w:hanging="357" w:left="714"/>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dėl kokios nors klaidos ar netyčinio aplaidumo, susijusio su šia sutartimi drausto turto vieta, jo aprašymu draudimo sutarties galiojimo metu ir buvo daromi atitinkami sutarties pakeitimai; arba</w:t>
      </w:r>
    </w:p>
    <w:p>
      <w:pPr>
        <w:pStyle w:val="ListParagraph"/>
        <w:numPr>
          <w:ilvl w:val="2"/>
          <w:numId w:val="3"/>
        </w:numPr>
        <w:spacing w:lineRule="auto" w:line="240" w:before="0" w:after="0"/>
        <w:ind w:hanging="357" w:left="714"/>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jei dėl klaidos ar netyčinio aplaidumo nebuvo įtraukta draudimo vieta sutarties įsigaliojimo metu; arba</w:t>
      </w:r>
    </w:p>
    <w:p>
      <w:pPr>
        <w:pStyle w:val="ListParagraph"/>
        <w:numPr>
          <w:ilvl w:val="2"/>
          <w:numId w:val="3"/>
        </w:numPr>
        <w:spacing w:lineRule="auto" w:line="240" w:before="0" w:after="0"/>
        <w:ind w:hanging="357" w:left="714"/>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dėl kokios nors klaidos ar netyčinio aplaidumo, dėl kurio nutrūksta ši draudimo sutartis, tai dėl to atsiradę nuostoliai yra draudžiami šia sutartimi, taip, lyg draudimo apsauga galiotų nesant tokios klaidos ar aplaidumo. </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Būtina sąlyga – apie tokią klaidą ar netyčinį aplaidumą turi būti pranešta ir jis turi būti ištaisytas, kai tik jis pastebimas.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Ši sąlyga negalioja vėlavimo sumokėti įmoką ar jos nesumokėjimo atvejais.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Maksimali draudimo išmokų suma pagal šią sąlygą ribojama 250 000 Eur suma vienam įvykiui ir visam sutarties galiojimo laikotarpiui.</w:t>
      </w:r>
    </w:p>
    <w:p>
      <w:pPr>
        <w:pStyle w:val="Normal"/>
        <w:spacing w:lineRule="auto" w:line="240" w:before="0" w:after="0"/>
        <w:jc w:val="both"/>
        <w:rPr>
          <w:rFonts w:ascii="Arial" w:hAnsi="Arial" w:eastAsia="Calibri" w:cs="Arial"/>
          <w:b/>
          <w:sz w:val="20"/>
          <w:szCs w:val="20"/>
          <w:lang w:val="lt-LT"/>
        </w:rPr>
      </w:pPr>
      <w:r>
        <w:rPr>
          <w:rFonts w:eastAsia="Calibri" w:cs="Arial" w:ascii="Arial" w:hAnsi="Arial"/>
          <w:b/>
          <w:sz w:val="20"/>
          <w:szCs w:val="20"/>
          <w:lang w:val="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Valstybinių institucijų nurodymai</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Draudimo išmoka taip pat mokama už tokias sunaikinto, sugadinto ar prarasto turto atkūrimo papildomas išlaidas, kurios patiriamos tik dėl to, kad reikia laikytis statybų techninio reglamento, statybų įstatymo ar taisyklių, nustatytų kituose įstatymuose, savivaldybės ar vietinės valdžios potvarkiuose, su sąlyga, kad:</w:t>
      </w:r>
    </w:p>
    <w:p>
      <w:pPr>
        <w:pStyle w:val="ListParagraph"/>
        <w:numPr>
          <w:ilvl w:val="3"/>
          <w:numId w:val="7"/>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Išmoka pagal šį išplėtimą nemokama už:</w:t>
      </w:r>
    </w:p>
    <w:p>
      <w:pPr>
        <w:pStyle w:val="ListParagraph"/>
        <w:numPr>
          <w:ilvl w:val="2"/>
          <w:numId w:val="3"/>
        </w:numPr>
        <w:spacing w:lineRule="auto" w:line="240" w:before="0" w:after="0"/>
        <w:ind w:hanging="357" w:left="714"/>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išlaidas dėl aukščiau minėtų reglamentų, įstatymų, taisyklių laikymosi:</w:t>
      </w:r>
    </w:p>
    <w:p>
      <w:pPr>
        <w:pStyle w:val="ListParagraph"/>
        <w:numPr>
          <w:ilvl w:val="0"/>
          <w:numId w:val="10"/>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susijusių su nuostoliais ar žala, padaryta iki draudimo laikotarpio, nustatyto šioje sutartyje;</w:t>
      </w:r>
    </w:p>
    <w:p>
      <w:pPr>
        <w:pStyle w:val="ListParagraph"/>
        <w:numPr>
          <w:ilvl w:val="0"/>
          <w:numId w:val="10"/>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susijusių su nuostoliais ar žala, nedraustais šia sutartimi;</w:t>
      </w:r>
    </w:p>
    <w:p>
      <w:pPr>
        <w:pStyle w:val="ListParagraph"/>
        <w:numPr>
          <w:ilvl w:val="0"/>
          <w:numId w:val="10"/>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kurių laikytis Draudėjas privalėjo nepriklausomai nuo žalos atsiradimo;</w:t>
      </w:r>
    </w:p>
    <w:p>
      <w:pPr>
        <w:pStyle w:val="ListParagraph"/>
        <w:numPr>
          <w:ilvl w:val="0"/>
          <w:numId w:val="10"/>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susijusių su nesugadintu turtu ar nesugadintomis turto dalimis (išskyrus susijusias dalis, kurių išsaugoti atkuriant neįmanoma).</w:t>
      </w:r>
    </w:p>
    <w:p>
      <w:pPr>
        <w:pStyle w:val="ListParagraph"/>
        <w:numPr>
          <w:ilvl w:val="2"/>
          <w:numId w:val="3"/>
        </w:numPr>
        <w:spacing w:lineRule="auto" w:line="240" w:before="0" w:after="0"/>
        <w:ind w:hanging="357" w:left="714"/>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kitokias papildomas išlaidas, kurių būtų reikėję pataisyti sugadintą ar sunaikintą turtą, kad jis būtų tokios būklės, kokios jis buvo naujas, jei nebūtų kilusi būtinybė laikytis anksčiau minėtų taisyklių ar nuostatų.</w:t>
      </w:r>
    </w:p>
    <w:p>
      <w:pPr>
        <w:pStyle w:val="ListParagraph"/>
        <w:numPr>
          <w:ilvl w:val="3"/>
          <w:numId w:val="7"/>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mokesčius, išlaidas vertintojams ar kitokias išlaidas dėl kapitalo vertės padidėjimo, atsiradusio dėl minėtų reglamentų, įstatymų, taisyklių laikymosi, kuriuos gali tekti mokėti tokio turto savininkui. Atkūrimo darbai turi būti pradėti ir vykdomi nevėluojant ir bet kokiu atveju turi būti baigti per dvidešimt keturis mėnesius nuo turto sunaikinimo, sugadinimo ar praradimo ir gali būti visiškai ar dalinai atlikti kitoje vietoje (jei to reikalauja minėti reglamentai, įstatymai, taisyklės), jei tai nedidina Draudiko atsakomybės, nustatytos šiuo išplėtimu.</w:t>
      </w:r>
    </w:p>
    <w:p>
      <w:pPr>
        <w:pStyle w:val="ListParagraph"/>
        <w:numPr>
          <w:ilvl w:val="3"/>
          <w:numId w:val="7"/>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Jei draudimo išmoka, mokama pagal bet kurį šios draudimo sutarties punktą, išskyrus šį išplėtimą, bus sumažinama, tuomet išmoka pagal šį išplėtimą mažinama ta pačia proporcija.</w:t>
      </w:r>
    </w:p>
    <w:p>
      <w:pPr>
        <w:pStyle w:val="ListParagraph"/>
        <w:numPr>
          <w:ilvl w:val="3"/>
          <w:numId w:val="7"/>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Maksimali draudimo išmokų suma pagal šią sąlygą ribojama 150 000 Eur suma vienam įvykiui ir visam sutarties galiojimo laikotarpiui kartu pagal Turto draudimą.</w:t>
      </w:r>
    </w:p>
    <w:p>
      <w:pPr>
        <w:pStyle w:val="ListParagraph"/>
        <w:spacing w:lineRule="auto" w:line="240" w:before="0" w:after="0"/>
        <w:ind w:left="144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Papildomos išlaidos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Pagrįstos papildomos išlaidos skirtos nuostolio dėl draudžiamojo įvykio sumažinimui, jo išvengimui ar padarinių likvidavimui. Jos apima tokias išlaidas:</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liekanų pašalinimą;</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vietos išvalymą, įskaitant ir grunto valymo išlaidas, išlaidas dėl cheminių medžiagų išsiliejimo;</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laikiną perkėlimą su išmontavimo ir sumontavimo išlaidomis;</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laikiną saugojimą tiek įvykio vietoje, tiek už jos ribų;</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išlaidas dėl atstatymo darbų paspartinimo;</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alternatyvių patalpų, įrengimų, nuomą, įskaitant jų pritaikymą;</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išlaidas ekspertams dėl nuostolio dydžio ar įvykio priežasties nustatymo;</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išlaidas gerbūvio darbams, reikalingiems po draudžiamojo įvykio atkurti gerbūvį draudimo vietoje;</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išlaidas kelionėms dėl atstatymo darbų ar jų organizavimo, ar priežiūros;</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išlaidas dėl papildomo personalo samdymo;</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išlaidas dokumentų, brėžinių atkūrimui;</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išlaidas, skirtas draudžiamojo įvykio metu sunaudotų medžiagų, specialių rūbų, pirminių gelbėjimo priemonių, inventoriaus atkūrimui, sistemų užpildymui gesinimo medžiagomis;</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taip pat iki 10 000 Eur sumos atlyginamos Draudėjo išlaidos, kai dėl draudžiamojo įvykio sunaudojami ar prarandami centralizuotai tiekiami energetiniai resursai, tokie kaip dujos, elektros energija, garas, termofikacinis vanduo, taip pat vanduo gamybos ar buitinėms reikmėms;</w:t>
      </w:r>
    </w:p>
    <w:p>
      <w:pPr>
        <w:pStyle w:val="ListParagraph"/>
        <w:numPr>
          <w:ilvl w:val="0"/>
          <w:numId w:val="11"/>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kitas, su Draudiku suderintas išlaidas, kurios tiesiogiai daro įtaką nuostolio išvengimui ar jo sumažinimui.</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Maksimali draudimo išmokų suma pagal šią sąlygą ribojama 500 000 Eur suma vienam įvykiui ir visam sutarties galiojimo laikotarpiui. </w:t>
      </w:r>
    </w:p>
    <w:p>
      <w:pPr>
        <w:pStyle w:val="Normal"/>
        <w:tabs>
          <w:tab w:val="clear" w:pos="720"/>
          <w:tab w:val="left" w:pos="426"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Draudėjo apibrėžimas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Draudėju ar su Draudėju susiję asmenys yra įmonės valdybos nariai, įmonės generalinis direktorius, direktoriai, bei už priešgaisrinę ir darbų saugą atsakingas darbuotojas. Tačiau Draudikas neturi regreso teisės į Draudėjo įmonės darbuotojus, išskyrus teisės aktų nustatytus atvejus.</w:t>
      </w:r>
    </w:p>
    <w:p>
      <w:pPr>
        <w:pStyle w:val="Normal"/>
        <w:tabs>
          <w:tab w:val="clear" w:pos="720"/>
          <w:tab w:val="left" w:pos="426"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Nevisiško draudimo netaikymas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Nevisiškas draudimas netaikomas, jei draudimo vertė yra didesnė už draudimo sumą ne daugiau kaip 15 %. Jeigu draudimo vertė yra didesnė už draudimo sumą daugiau kaip 15 %, tai taikant nevisiško draudimo sąlygą yra skaičiuojama tik ta nevisiško draudimo proporcijos dalis, kuri viršija 15 % ribą.</w:t>
      </w:r>
    </w:p>
    <w:p>
      <w:pPr>
        <w:pStyle w:val="NoSpacing"/>
        <w:jc w:val="both"/>
        <w:rPr>
          <w:rFonts w:ascii="Arial" w:hAnsi="Arial" w:cs="Arial"/>
          <w:sz w:val="20"/>
          <w:szCs w:val="20"/>
          <w:lang w:eastAsia="lt-LT"/>
        </w:rPr>
      </w:pPr>
      <w:r>
        <w:rPr>
          <w:rFonts w:cs="Arial" w:ascii="Arial" w:hAnsi="Arial"/>
          <w:sz w:val="20"/>
          <w:szCs w:val="20"/>
          <w:lang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Draudimo vertė ir draudimo suma</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Draudimo vertės nustatymo kriterijai:</w:t>
      </w:r>
    </w:p>
    <w:p>
      <w:pPr>
        <w:pStyle w:val="ListParagraph"/>
        <w:numPr>
          <w:ilvl w:val="0"/>
          <w:numId w:val="12"/>
        </w:numPr>
        <w:spacing w:lineRule="auto" w:line="240" w:before="0" w:after="0"/>
        <w:contextualSpacing/>
        <w:jc w:val="both"/>
        <w:rPr>
          <w:rFonts w:ascii="Arial" w:hAnsi="Arial" w:cs="Arial"/>
          <w:sz w:val="20"/>
          <w:szCs w:val="20"/>
          <w:lang w:val="lt-LT"/>
        </w:rPr>
      </w:pPr>
      <w:r>
        <w:rPr>
          <w:rFonts w:cs="Arial" w:ascii="Arial" w:hAnsi="Arial"/>
          <w:sz w:val="20"/>
          <w:szCs w:val="20"/>
          <w:lang w:val="lt-LT"/>
        </w:rPr>
        <w:t>Pagrindiniai pastatai/patalpos (administraciniai, gyvenamosios paskirties, gamybiniai ir pan.), nepriklausomai nuo jų amžiaus, nusidėvėjimo ir techninių parametrų, draudžiami nauja atkūrimo verte.</w:t>
      </w:r>
    </w:p>
    <w:p>
      <w:pPr>
        <w:pStyle w:val="ListParagraph"/>
        <w:numPr>
          <w:ilvl w:val="0"/>
          <w:numId w:val="12"/>
        </w:numPr>
        <w:spacing w:lineRule="auto" w:line="240" w:before="0" w:after="0"/>
        <w:contextualSpacing/>
        <w:jc w:val="both"/>
        <w:rPr>
          <w:rFonts w:ascii="Arial" w:hAnsi="Arial" w:cs="Arial"/>
          <w:sz w:val="20"/>
          <w:szCs w:val="20"/>
          <w:lang w:val="lt-LT"/>
        </w:rPr>
      </w:pPr>
      <w:r>
        <w:rPr>
          <w:rFonts w:cs="Arial" w:ascii="Arial" w:hAnsi="Arial"/>
          <w:sz w:val="20"/>
          <w:szCs w:val="20"/>
          <w:lang w:val="lt-LT"/>
        </w:rPr>
        <w:t>Pagalbiniai pastatai, kurių nusidėvėjimas pagal VĮ Registrų centras (toliau – RC) duomenis mažesnis arba lygus 50 %, draudžiami nauja atkūrimo verte.</w:t>
      </w:r>
    </w:p>
    <w:p>
      <w:pPr>
        <w:pStyle w:val="ListParagraph"/>
        <w:numPr>
          <w:ilvl w:val="0"/>
          <w:numId w:val="12"/>
        </w:numPr>
        <w:spacing w:lineRule="auto" w:line="240" w:before="0" w:after="0"/>
        <w:contextualSpacing/>
        <w:jc w:val="both"/>
        <w:rPr>
          <w:rFonts w:ascii="Arial" w:hAnsi="Arial" w:cs="Arial"/>
          <w:sz w:val="20"/>
          <w:szCs w:val="20"/>
          <w:lang w:val="lt-LT"/>
        </w:rPr>
      </w:pPr>
      <w:r>
        <w:rPr>
          <w:rFonts w:cs="Arial" w:ascii="Arial" w:hAnsi="Arial"/>
          <w:sz w:val="20"/>
          <w:szCs w:val="20"/>
          <w:lang w:val="lt-LT"/>
        </w:rPr>
        <w:t>Pagalbiniai pastatai, kurių nusidėvėjimas pagal RC duomenis didesnis nei 50 %, draudžiami likutine verte.</w:t>
      </w:r>
    </w:p>
    <w:p>
      <w:pPr>
        <w:pStyle w:val="ListParagraph"/>
        <w:spacing w:before="0" w:after="0"/>
        <w:ind w:left="1080"/>
        <w:contextualSpacing/>
        <w:rPr>
          <w:rFonts w:ascii="Arial" w:hAnsi="Arial" w:eastAsia="Calibri" w:cs="Arial"/>
          <w:sz w:val="20"/>
          <w:szCs w:val="20"/>
          <w:lang w:val="lt-LT" w:eastAsia="lt-LT"/>
        </w:rPr>
      </w:pPr>
      <w:r>
        <w:rPr>
          <w:rFonts w:eastAsia="Calibri" w:cs="Arial" w:ascii="Arial" w:hAnsi="Arial"/>
          <w:sz w:val="20"/>
          <w:szCs w:val="20"/>
          <w:lang w:val="lt-LT" w:eastAsia="lt-LT"/>
        </w:rPr>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Turto nauja atkuriamoji vertė yra lygi sumai, kurią reikia išleisti norint pastatyti naują artimiausių techninių parametrų pastatą ar statinį. Visais atvejais į naują atkuriamąją vertę yra įskaičiuojamos išlaidos projektavimui, derinimui, bandymams / testavimui, transportavimui, priežiūrai bei kitos būtinos išlaidos ir privalomi mokesčiai.</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Turto likutinė vertė – tai turto nauja atkuriamoji vertė atėmus fizinį nusidėvėjimą.</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Nuostoliai dėl žalos apdraustam turtui nauja atkūrimo verte yra atlyginami, jei Draudėjas per 12 (dvylika) mėnesių nuo draudžiamojo įvykio datos šį turtą atstato ar atkuria, arba pateikia įrodymus, kad turtas pradėtas atstatinėti ar atkurti. Jei Draudėjas nevykdo šios sąlygos, draudimo išmoka mokama taikant draudimo likutine verte taisykles, net jei turtas buvo apdraustas nauja atkūrimo verte, o taip pat nėra atlyginami netiesioginiai remonto (atstatymo) kaštai, tokie kaip pridėtinės bei papildomos išlaidos, socialinio draudimo išlaidos, atstatymo darbų pelnas, PVM ir kiti mokesčiai, jeigu dėl jų atlyginimo nėra sutarta kitaip.</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Jeigu turto atstatymo ar atkūrimo darbai ar šių darbų pradėjimas užsitęsia ilgiau kaip vienerius metus dėl oficialių institucijų veiksmų ar neveikimo, kuriam Draudėjas negali daryti įtakos, šis laikotarpis yra pridedamas prie anksčiau minėto vienerių metų termino.</w:t>
      </w:r>
    </w:p>
    <w:p>
      <w:pPr>
        <w:pStyle w:val="Normal"/>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Rizikos padidėjimas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Rizikos padidėjimu, dėl kurio draudikas turi teisę mažinti ar nemokėti draudimo išmokos, yra priskiriamos tik šios aplinkybės:</w:t>
      </w:r>
    </w:p>
    <w:p>
      <w:pPr>
        <w:pStyle w:val="Normal"/>
        <w:numPr>
          <w:ilvl w:val="0"/>
          <w:numId w:val="6"/>
        </w:numPr>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t>Draudimo vietoje statybos, montavimo, remonto darbų vykdymas, kuriems atlikti pagal Lietuvos Respublikos teisės aktus yra privalomas statybą leidžiantis dokumentas, kaip apibrėžta Lietuvos Respublikos statybos įstatyme arba kurių sąmatinė vertė, neskaičiuojant montuojamos įrangos vertės, viršija 100 000 Eur. Visi kiti statybos, montavimo ar remonto darbai, išskyrus išvardintus aukščiau, nėra laikomi rizikos padidėjimu ir jų vykdymas nesiaurina draudimo apsaugos apimties, tiek paties remontuojamo, statomo, montuojamo apdrausto turto, tiek gretimai esančio apdrausto turto atžvilgiu.</w:t>
      </w:r>
    </w:p>
    <w:p>
      <w:pPr>
        <w:pStyle w:val="Normal"/>
        <w:numPr>
          <w:ilvl w:val="0"/>
          <w:numId w:val="6"/>
        </w:numPr>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t>apdrausto objekto techninės būklės pablogėjimas, kuomet jis atitinkamų tarnybų pripažįstamas netinkamu naudoti.</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Apie rizikos padidėjimą Draudėjas privalo pranešti Draudikui per 5 darbo dienas nuo sužinojimo apie aplinkybes, dėl kurių padidėja rizika. Išnykus aplinkybėms, dėl kurių padidėjo rizika, iki pranešimo Draudikui apie rizikos padidėjimą dienos, Draudėjas neprivalo informuoti Draudiko.</w:t>
      </w:r>
    </w:p>
    <w:p>
      <w:pPr>
        <w:pStyle w:val="Normal"/>
        <w:tabs>
          <w:tab w:val="clear" w:pos="720"/>
          <w:tab w:val="left" w:pos="426"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Vienas įvykis</w:t>
      </w:r>
    </w:p>
    <w:p>
      <w:pPr>
        <w:pStyle w:val="Normal"/>
        <w:spacing w:lineRule="auto" w:line="240" w:before="0" w:after="0"/>
        <w:ind w:left="426"/>
        <w:jc w:val="both"/>
        <w:rPr>
          <w:rFonts w:ascii="Arial" w:hAnsi="Arial" w:eastAsia="Calibri" w:cs="Arial"/>
          <w:sz w:val="20"/>
          <w:szCs w:val="20"/>
          <w:lang w:val="lt-LT" w:eastAsia="lt-LT"/>
        </w:rPr>
      </w:pPr>
      <w:r>
        <w:rPr>
          <w:rFonts w:eastAsia="Calibri" w:cs="Arial" w:ascii="Arial" w:hAnsi="Arial"/>
          <w:sz w:val="20"/>
          <w:szCs w:val="20"/>
          <w:lang w:val="lt-LT" w:eastAsia="lt-LT"/>
        </w:rPr>
        <w:t>Draudimo sutartyje nurodytų išskaitų (franšizių) bei išmokų apribojimų taikymo prasme, vienu įvykiu laikomas apdrausto turto sugadinimas ar sunaikinimas bei dėl to patiriami Finansiniai nuostoliai, kuriuos per vieną iš eilės einančių 72 (septyniasdešimt dviejų) valandų laikotarpį sukelia audra, potvynis, liūtis, kruša, gausus snygis ar kita gamtinė nelaimė. Draudėjas turi teisę savo nuožiūra nuspręsti, kada toks 72 (septyniasdešimt dviejų) valandų laikotarpis prasideda, tačiau tais atvejais, kai draudžiamojo įvykio pasireiškimo laikotarpis yra ilgesnis, du ar daugiau tokių 72 (septyniasdešimt dviejų) valandų laikotarpiai persidengti negali.</w:t>
      </w:r>
    </w:p>
    <w:p>
      <w:pPr>
        <w:pStyle w:val="Normal"/>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Nemažėjanti draudimo suma</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Išmokėjus draudimo išmoką, draudimo sumos, nustatytos draudimo liudijime, nemažėja, jeigu apdraustas turtas, už kurį mokama draudimo išmoka yra arba bus atkuriamas / atstatomas.</w:t>
      </w:r>
    </w:p>
    <w:p>
      <w:pPr>
        <w:pStyle w:val="Normal"/>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Kita konstrukcija / kita technologija / kita paskirtis / kita vieta</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Draudikas sutinka, kad Draudėjas turi teisę turtą atstatyti kitokiais konstrukciniais ar technologiniais sprendimais ir/ar kitokios paskirties ir/ar kitoje vietoje nei buvo iki draudžiamojo įvykio, tačiau draudimo išmokos suma negali viršyti sumos, kuri būtų buvusi mokama, jei Draudėjas turtą atstatinėtų tokiais pat konstrukciniais ar technologiniais sprendimais, tokios pačios paskirties ar toje pačioje vietoje.</w:t>
      </w:r>
    </w:p>
    <w:p>
      <w:pPr>
        <w:pStyle w:val="Normal"/>
        <w:tabs>
          <w:tab w:val="clear" w:pos="720"/>
          <w:tab w:val="left" w:pos="426" w:leader="none"/>
        </w:tabs>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Pastatai / statiniai</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Pastatai bei statiniai – objektai, sukurti statybos darbais naudojant statybos produktus ir tvirtai sujungti su žeme, kurių negalima perkelti iš vienos vietos į kitą nepakeitus jų paskirties bei iš esmės nesumažinus jų vertės, skirti gamybinei, komercinei, administracinei ar aptarnavimo veiklai vykdyti. Pastatams bei statiniams taip pat priskiriami ir pastatų bei statinių viduje esantys įrenginiai, kurie pagal paskirtį ir prigimtį yra nekilnojamieji: šildymo, vandentiekio, kanalizacijos, sprinklerinės sistemos stacionarūs įrenginiai; pastato bei statinio elektros instaliacijos įrenginiai; vėdinimo ir oro kondicionavimo stacionarūs įrenginiai; turto ir priešgaisrinės apsaugos stacionari įranga.</w:t>
      </w:r>
    </w:p>
    <w:p>
      <w:pPr>
        <w:pStyle w:val="Normal"/>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Papildoma sąlyga dėl dvigubo draudimo</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Jeigu paaiškės, kad pagal draudimo sutartį apdraustas turtas draudžiamojo įvykio metu taip pat buvo apdraustas kitoje draudimo bendrovėje nuo tokio paties draudžiamojo įvykio ir draudimo išmoka yra mokėtina pagal kelias draudimo sutartis (dvigubas draudimas), tai kiekvienas Draudikas atlygina nuostolius proporcingai savo atsakomybės daliai, tačiau bendra draudimo išmokų suma neturi viršyti nuostolio sumos.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Tuo atveju, kai įvykis yra draudžiamasis pagal šią draudimo sutartį ir Draudėjas yra pripažįstamas kaltu dėl padaryto nuostolio apdraustam turtui ar jo daliai, o kita draudimo bendrovė, išmokėjusi draudimo išmoką už turtą apdraustą ir šia draudimo sutartimi (dvigubas draudimas), kreipiasi į Draudėją, kaip į įvykio kaltininką, su reikalavimu išmokėtų draudimo išmokų ribose atlyginti nuostolius, tai pagal šią draudimo sutartį Draudikas sumoka papildomą draudimo išmoką už turto, apdrausto šia draudimo sutartimi, sugadinimą, sunaikinimą ar praradimą, kuri yra lygi skirtumui tarp draudimo išmokos, kuri būtų buvusi jei nebūtų buvę dvigubo draudimo ir jau išmokėtos draudimo išmokos.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Bet kokiu atveju, papildomos draudimo išmokos suma už turtą apdraustą šia draudimo sutartimi negali būti didesnė nei suma nurodyta kitos draudimo bendrovės reikalavime dėl nuostolių atlyginimo.</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Normal"/>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rPr>
      </w:pPr>
      <w:r>
        <w:rPr>
          <w:rFonts w:eastAsia="Calibri" w:cs="Arial" w:ascii="Arial" w:hAnsi="Arial"/>
          <w:b/>
          <w:sz w:val="20"/>
          <w:szCs w:val="20"/>
          <w:lang w:val="lt-LT"/>
        </w:rPr>
        <w:t>Draudimo įmokos perskaičiavimas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Draudimo įmoka už turto draudimą yra mokama tokia tvarka:</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Draudimo liudijime nurodoma draudimo įmoka yra 70 % metinės viso apdraudžiamo turto draudimo įmokos.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Šalių susitarimu, draudimo įmoka bus perskaičiuota draudimo laikotarpio pabaigoje. Tam tikslui, Draudėjas ne vėliau kaip 14 dienų po draudimo laikotarpio pasibaigimo, raštu deklaruoja per draudimo laikotarpį perleistų / parduotų bei naujai įsigytų apdraustų objektų draudimo sumas ir datas, nuo kurios šie objektai nebepatenka arba įtraukiami į apdraustų objektų kategoriją. Draudikas perskaičiuoja metinę draudimo įmoką pagal faktinę draudimo sumą šia tvarka:</w:t>
      </w:r>
    </w:p>
    <w:p>
      <w:pPr>
        <w:pStyle w:val="ListParagraph"/>
        <w:numPr>
          <w:ilvl w:val="0"/>
          <w:numId w:val="4"/>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suskaičiuojama draudimo įmoka už faktinę apdraustų objektų draudimo apsaugą - faktinė draudimo įmoka. Ji suskaičiuojama metinę</w:t>
      </w:r>
      <w:r>
        <w:rPr>
          <w:rFonts w:cs="Arial" w:ascii="Arial" w:hAnsi="Arial"/>
          <w:sz w:val="20"/>
          <w:szCs w:val="20"/>
          <w:lang w:val="lt-LT"/>
        </w:rPr>
        <w:t xml:space="preserve"> </w:t>
      </w:r>
      <w:r>
        <w:rPr>
          <w:rFonts w:eastAsia="Calibri" w:cs="Arial" w:ascii="Arial" w:hAnsi="Arial"/>
          <w:sz w:val="20"/>
          <w:szCs w:val="20"/>
          <w:lang w:val="lt-LT" w:eastAsia="lt-LT"/>
        </w:rPr>
        <w:t xml:space="preserve">viso apdraudžiamo turto draudimo įmoką sumažinus nepanaudotomis draudimo įmokomis už per skaičiuojamą laikotarpį perleistus / parduotus draudimo objektus. Skaičiavimas atliekamas dienų tikslumu. </w:t>
      </w:r>
    </w:p>
    <w:p>
      <w:pPr>
        <w:pStyle w:val="ListParagraph"/>
        <w:numPr>
          <w:ilvl w:val="0"/>
          <w:numId w:val="4"/>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jeigu faktinė draudimo įmoka yra mažesnė nei draudimo liudijime nurodyta draudimo įmoka, skirtumas tarp faktinės ir jau sumokėtos draudimo įmokos Draudėjui nėra grąžinamas;</w:t>
      </w:r>
    </w:p>
    <w:p>
      <w:pPr>
        <w:pStyle w:val="ListParagraph"/>
        <w:numPr>
          <w:ilvl w:val="0"/>
          <w:numId w:val="4"/>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jeigu faktinė draudimo įmoka yra didesnė nei draudimo liudijime nurodyta draudimo įmoka, tai skirtumą tarp faktinės ir draudimo liudijime nurodytos draudimo įmokos Draudėjas sumoka Draudikui pagal Draudiko sąskaitą ne vėliau kaip per 30  kalendorinių dienų nuo sąskaitos gavimo. </w:t>
      </w:r>
    </w:p>
    <w:p>
      <w:pPr>
        <w:pStyle w:val="Normal"/>
        <w:spacing w:lineRule="auto" w:line="240" w:before="0" w:after="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2"/>
          <w:numId w:val="7"/>
        </w:numPr>
        <w:spacing w:lineRule="auto" w:line="240" w:before="0" w:after="0"/>
        <w:contextualSpacing/>
        <w:jc w:val="both"/>
        <w:rPr>
          <w:rFonts w:ascii="Arial" w:hAnsi="Arial" w:eastAsia="Calibri" w:cs="Arial"/>
          <w:b/>
          <w:sz w:val="20"/>
          <w:szCs w:val="20"/>
          <w:lang w:val="lt-LT" w:eastAsia="lt-LT"/>
        </w:rPr>
      </w:pPr>
      <w:r>
        <w:rPr>
          <w:rFonts w:eastAsia="Calibri" w:cs="Arial" w:ascii="Arial" w:hAnsi="Arial"/>
          <w:b/>
          <w:sz w:val="20"/>
          <w:szCs w:val="20"/>
          <w:lang w:val="lt-LT" w:eastAsia="lt-LT"/>
        </w:rPr>
        <w:t>Draudėjo teisių į žalos atlyginimą perėjimas draudikui (subrogacija)</w:t>
      </w:r>
    </w:p>
    <w:p>
      <w:pPr>
        <w:pStyle w:val="Normal"/>
        <w:spacing w:lineRule="auto" w:line="240" w:before="0" w:after="0"/>
        <w:ind w:left="360"/>
        <w:jc w:val="both"/>
        <w:rPr>
          <w:rFonts w:ascii="Arial" w:hAnsi="Arial" w:eastAsia="Calibri" w:cs="Arial"/>
          <w:color w:themeColor="text1" w:val="000000"/>
          <w:sz w:val="20"/>
          <w:szCs w:val="20"/>
          <w:lang w:val="lt-LT"/>
        </w:rPr>
      </w:pPr>
      <w:r>
        <w:rPr>
          <w:rFonts w:eastAsia="Calibri" w:cs="Arial" w:ascii="Arial" w:hAnsi="Arial"/>
          <w:color w:themeColor="text1" w:val="000000"/>
          <w:sz w:val="20"/>
          <w:szCs w:val="20"/>
          <w:shd w:fill="FFFFFF" w:val="clear"/>
          <w:lang w:val="lt-LT"/>
        </w:rPr>
        <w:t xml:space="preserve">Draudikui, išmokėjusiam draudimo išmoką, nepereina teisė reikalauti išmokėtų sumų iš atsakingo už padarytą žalą asmens, jeigu tas asmuo yra su </w:t>
      </w:r>
      <w:r>
        <w:rPr>
          <w:rFonts w:eastAsia="Calibri" w:cs="Arial" w:ascii="Arial" w:hAnsi="Arial"/>
          <w:color w:themeColor="text1" w:val="000000"/>
          <w:sz w:val="20"/>
          <w:szCs w:val="20"/>
          <w:lang w:val="lt-LT"/>
        </w:rPr>
        <w:t>Draudėju susijusi įmonė, Draudėjo ar susijusios įmonės darbuotojas  bei Draudėjo klientai ar partneriai, pasirašę su Draudėju sutartį, pagal kurią subrogacija į šiuos asmenis negalima.</w:t>
      </w:r>
    </w:p>
    <w:p>
      <w:pPr>
        <w:pStyle w:val="NoSpacing"/>
        <w:jc w:val="both"/>
        <w:rPr>
          <w:rFonts w:ascii="Arial" w:hAnsi="Arial" w:cs="Arial"/>
          <w:bCs/>
          <w:sz w:val="20"/>
          <w:szCs w:val="20"/>
          <w:lang w:eastAsia="lt-LT"/>
        </w:rPr>
      </w:pPr>
      <w:r>
        <w:rPr>
          <w:rFonts w:cs="Arial" w:ascii="Arial" w:hAnsi="Arial"/>
          <w:bCs/>
          <w:sz w:val="20"/>
          <w:szCs w:val="20"/>
          <w:lang w:eastAsia="lt-LT"/>
        </w:rPr>
      </w:r>
    </w:p>
    <w:p>
      <w:pPr>
        <w:pStyle w:val="ListParagraph"/>
        <w:numPr>
          <w:ilvl w:val="2"/>
          <w:numId w:val="7"/>
        </w:numPr>
        <w:spacing w:lineRule="auto" w:line="240" w:before="0" w:after="0"/>
        <w:contextualSpacing/>
        <w:jc w:val="both"/>
        <w:rPr>
          <w:rFonts w:ascii="Arial" w:hAnsi="Arial" w:cs="Arial"/>
          <w:b/>
          <w:sz w:val="20"/>
          <w:szCs w:val="20"/>
          <w:lang w:val="lt-LT" w:eastAsia="lt-LT"/>
        </w:rPr>
      </w:pPr>
      <w:r>
        <w:rPr>
          <w:rFonts w:eastAsia="Calibri" w:cs="Arial" w:ascii="Arial" w:hAnsi="Arial"/>
          <w:b/>
          <w:sz w:val="20"/>
          <w:szCs w:val="20"/>
          <w:lang w:val="lt-LT" w:eastAsia="lt-LT"/>
        </w:rPr>
        <w:t>Naujų objektų esamose ir naujose vietose draudimas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Draudimo apsauga automatiškai be atskiro suderinimo suteikiama visiems objektams, kurie draudimo laikotarpiu buvo įsigyti, išsinuomoti ar patikėti Draudėjui, jeigu tenkinamos šios sąlygos:</w:t>
      </w:r>
    </w:p>
    <w:p>
      <w:pPr>
        <w:pStyle w:val="ListParagraph"/>
        <w:numPr>
          <w:ilvl w:val="0"/>
          <w:numId w:val="4"/>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turtas nėra priskiriamas objektui, kuris negali būti apdraudžiamas pagal draudimo sąlygas;</w:t>
      </w:r>
    </w:p>
    <w:p>
      <w:pPr>
        <w:pStyle w:val="ListParagraph"/>
        <w:numPr>
          <w:ilvl w:val="0"/>
          <w:numId w:val="4"/>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turto draudimo suma naujoje vietoje neviršija 250 000 Eur;</w:t>
      </w:r>
    </w:p>
    <w:p>
      <w:pPr>
        <w:pStyle w:val="ListParagraph"/>
        <w:numPr>
          <w:ilvl w:val="0"/>
          <w:numId w:val="4"/>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turto paskirtis yra tokia pati kaip bet kurio iš objektų, apdraustų sudarant šią draudimo sutartį;</w:t>
      </w:r>
    </w:p>
    <w:p>
      <w:pPr>
        <w:pStyle w:val="ListParagraph"/>
        <w:numPr>
          <w:ilvl w:val="0"/>
          <w:numId w:val="4"/>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turto priešgaisrinės apsaugos priemonės atitinka reikalavimus pagal galiojančius teisės aktus.</w:t>
      </w:r>
    </w:p>
    <w:p>
      <w:pPr>
        <w:pStyle w:val="ListParagraph"/>
        <w:numPr>
          <w:ilvl w:val="0"/>
          <w:numId w:val="4"/>
        </w:numPr>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Jeigu bent vienas iš aukščiau paminėtų kriterijų nėra tenkinamas, tai draudimo apsauga gali būti suteikiama tik atskirai raštu suderinus su Draudiku.</w:t>
      </w:r>
    </w:p>
    <w:p>
      <w:pPr>
        <w:pStyle w:val="Normal"/>
        <w:spacing w:lineRule="auto" w:line="240" w:before="0" w:after="0"/>
        <w:jc w:val="both"/>
        <w:rPr>
          <w:rFonts w:ascii="Arial" w:hAnsi="Arial" w:cs="Arial"/>
          <w:sz w:val="20"/>
          <w:szCs w:val="20"/>
          <w:lang w:val="lt-LT"/>
        </w:rPr>
      </w:pPr>
      <w:r>
        <w:rPr>
          <w:rFonts w:cs="Arial" w:ascii="Arial" w:hAnsi="Arial"/>
          <w:sz w:val="20"/>
          <w:szCs w:val="20"/>
          <w:lang w:val="lt-LT"/>
        </w:rPr>
      </w:r>
    </w:p>
    <w:p>
      <w:pPr>
        <w:pStyle w:val="ListParagraph"/>
        <w:numPr>
          <w:ilvl w:val="2"/>
          <w:numId w:val="7"/>
        </w:numPr>
        <w:spacing w:lineRule="auto" w:line="240" w:before="0" w:after="0"/>
        <w:contextualSpacing/>
        <w:jc w:val="both"/>
        <w:rPr>
          <w:rFonts w:ascii="Arial" w:hAnsi="Arial" w:eastAsia="Calibri" w:cs="Arial"/>
          <w:b/>
          <w:sz w:val="20"/>
          <w:szCs w:val="20"/>
          <w:lang w:val="lt-LT" w:eastAsia="lt-LT"/>
        </w:rPr>
      </w:pPr>
      <w:r>
        <w:rPr>
          <w:rFonts w:eastAsia="Calibri" w:cs="Arial" w:ascii="Arial" w:hAnsi="Arial"/>
          <w:b/>
          <w:sz w:val="20"/>
          <w:szCs w:val="20"/>
          <w:lang w:val="lt-LT" w:eastAsia="lt-LT"/>
        </w:rPr>
        <w:t>Draudėjo perleistas turtas</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t>Apdrausto turto išnuomojimas, patikėjimas ar kitais pagrindais perleidimas trečiųjų asmenų valdymui nėra laikoma rizikos padidėjimu iki tas turtas nėra priskiriamas objektui, kuris negali būti apdraudžiamas pagal draudimo sąlygas, o objekte vykdoma veikla atitinka turto polise numatytų draudimo objektų paskirtį bei veiklas, kurias Draudėjas vykdo apdraustuose draudimo objektuose.</w:t>
      </w:r>
    </w:p>
    <w:p>
      <w:pPr>
        <w:pStyle w:val="Normal"/>
        <w:spacing w:lineRule="auto" w:line="240" w:before="0" w:after="0"/>
        <w:ind w:left="360"/>
        <w:jc w:val="both"/>
        <w:rPr>
          <w:rFonts w:ascii="Arial" w:hAnsi="Arial" w:eastAsia="Calibri" w:cs="Arial"/>
          <w:sz w:val="20"/>
          <w:szCs w:val="20"/>
          <w:lang w:val="lt-LT" w:eastAsia="lt-LT"/>
        </w:rPr>
      </w:pPr>
      <w:r>
        <w:rPr>
          <w:rFonts w:eastAsia="Calibri" w:cs="Arial" w:ascii="Arial" w:hAnsi="Arial"/>
          <w:sz w:val="20"/>
          <w:szCs w:val="20"/>
          <w:lang w:val="lt-LT" w:eastAsia="lt-LT"/>
        </w:rPr>
      </w:r>
    </w:p>
    <w:p>
      <w:pPr>
        <w:pStyle w:val="ListParagraph"/>
        <w:numPr>
          <w:ilvl w:val="1"/>
          <w:numId w:val="7"/>
        </w:numPr>
        <w:spacing w:lineRule="auto" w:line="240" w:before="0" w:after="0"/>
        <w:ind w:hanging="491" w:left="851"/>
        <w:contextualSpacing/>
        <w:jc w:val="both"/>
        <w:rPr>
          <w:rFonts w:ascii="Arial" w:hAnsi="Arial" w:eastAsia="Times New Roman" w:cs="Arial"/>
          <w:b/>
          <w:sz w:val="20"/>
          <w:szCs w:val="20"/>
          <w:lang w:val="lt-LT"/>
        </w:rPr>
      </w:pPr>
      <w:r>
        <w:rPr>
          <w:rFonts w:eastAsia="Times New Roman" w:cs="Arial" w:ascii="Arial" w:hAnsi="Arial"/>
          <w:b/>
          <w:sz w:val="20"/>
          <w:szCs w:val="20"/>
          <w:lang w:val="lt-LT"/>
        </w:rPr>
        <w:t>Priedai</w:t>
      </w:r>
    </w:p>
    <w:p>
      <w:pPr>
        <w:pStyle w:val="Normal"/>
        <w:spacing w:lineRule="auto" w:line="240" w:before="0" w:after="0"/>
        <w:jc w:val="both"/>
        <w:rPr>
          <w:rFonts w:ascii="Arial" w:hAnsi="Arial" w:eastAsia="Times New Roman" w:cs="Arial"/>
          <w:b/>
          <w:sz w:val="20"/>
          <w:szCs w:val="20"/>
          <w:lang w:val="lt-LT"/>
        </w:rPr>
      </w:pPr>
      <w:r>
        <w:rPr>
          <w:rFonts w:eastAsia="Times New Roman" w:cs="Arial" w:ascii="Arial" w:hAnsi="Arial"/>
          <w:b/>
          <w:sz w:val="20"/>
          <w:szCs w:val="20"/>
          <w:lang w:val="lt-LT"/>
        </w:rPr>
      </w:r>
    </w:p>
    <w:p>
      <w:pPr>
        <w:pStyle w:val="ListParagraph"/>
        <w:numPr>
          <w:ilvl w:val="2"/>
          <w:numId w:val="7"/>
        </w:numPr>
        <w:spacing w:before="0" w:after="0"/>
        <w:contextualSpacing/>
        <w:jc w:val="both"/>
        <w:rPr>
          <w:rFonts w:ascii="Arial" w:hAnsi="Arial" w:cs="Arial"/>
          <w:b/>
          <w:bCs/>
          <w:sz w:val="20"/>
          <w:szCs w:val="20"/>
          <w:lang w:val="lt-LT"/>
        </w:rPr>
      </w:pPr>
      <w:r>
        <w:rPr>
          <w:rFonts w:cs="Arial" w:ascii="Arial" w:hAnsi="Arial"/>
          <w:b/>
          <w:bCs/>
          <w:sz w:val="20"/>
          <w:szCs w:val="20"/>
          <w:lang w:val="lt-LT"/>
        </w:rPr>
        <w:t>Priedas dėl grybelių ir panašių organizmų</w:t>
      </w:r>
    </w:p>
    <w:p>
      <w:pPr>
        <w:pStyle w:val="Normal"/>
        <w:ind w:left="284"/>
        <w:jc w:val="both"/>
        <w:rPr>
          <w:rFonts w:ascii="Arial" w:hAnsi="Arial" w:cs="Arial"/>
          <w:b/>
          <w:bCs/>
          <w:sz w:val="20"/>
          <w:szCs w:val="20"/>
          <w:lang w:val="lt-LT"/>
        </w:rPr>
      </w:pPr>
      <w:r>
        <w:rPr>
          <w:rFonts w:cs="Arial" w:ascii="Arial" w:hAnsi="Arial"/>
          <w:sz w:val="20"/>
          <w:szCs w:val="20"/>
          <w:lang w:val="lt-LT"/>
        </w:rPr>
        <w:t>Nėra draudžiama jokia žala, nuostolis ar išlaidos, tiesiogiai ar netiesiogiai nulemtos ar kažkokiu būdu susijusios su pelėsiais, grybeliais, sporomis ar kitokiais panašiais organizmais. Ši išlyga taikoma neatsižvelgiant į bet kokią kitą priežastį ar įvykį kuris įvyksta kartu su arba po žalos, nuostolio, kaštų, ieškinio ar išlaidų.</w:t>
      </w:r>
    </w:p>
    <w:p>
      <w:pPr>
        <w:pStyle w:val="ListParagraph"/>
        <w:numPr>
          <w:ilvl w:val="2"/>
          <w:numId w:val="7"/>
        </w:numPr>
        <w:spacing w:before="0" w:after="0"/>
        <w:contextualSpacing/>
        <w:jc w:val="both"/>
        <w:rPr>
          <w:rFonts w:ascii="Arial" w:hAnsi="Arial" w:cs="Arial"/>
          <w:b/>
          <w:bCs/>
          <w:sz w:val="20"/>
          <w:szCs w:val="20"/>
          <w:lang w:val="lt-LT"/>
        </w:rPr>
      </w:pPr>
      <w:r>
        <w:rPr>
          <w:rFonts w:cs="Arial" w:ascii="Arial" w:hAnsi="Arial"/>
          <w:b/>
          <w:bCs/>
          <w:sz w:val="20"/>
          <w:szCs w:val="20"/>
          <w:lang w:val="lt-LT"/>
        </w:rPr>
        <w:t>Priedas dėl asbesto, 1994</w:t>
      </w:r>
    </w:p>
    <w:p>
      <w:pPr>
        <w:pStyle w:val="Normal"/>
        <w:spacing w:lineRule="auto" w:line="240" w:before="0" w:after="0"/>
        <w:ind w:left="284"/>
        <w:jc w:val="both"/>
        <w:rPr>
          <w:rFonts w:ascii="Arial" w:hAnsi="Arial" w:cs="Arial"/>
          <w:sz w:val="20"/>
          <w:szCs w:val="20"/>
          <w:lang w:val="lt-LT"/>
        </w:rPr>
      </w:pPr>
      <w:r>
        <w:rPr>
          <w:rFonts w:cs="Arial" w:ascii="Arial" w:hAnsi="Arial"/>
          <w:sz w:val="20"/>
          <w:szCs w:val="20"/>
          <w:lang w:val="lt-LT"/>
        </w:rPr>
        <w:t>Asbestas yra apdraudžiamas tuo atveju, kai jis fiziškai inkorporuotas į draudžiamą pastatą ar struktūrą ir tuo atveju, kai asbestas fiziškai sugadinamas draudimo apsaugos galiojimo laikotarpiu dėl vienos iš išvardintų rizikų:</w:t>
      </w:r>
    </w:p>
    <w:p>
      <w:pPr>
        <w:pStyle w:val="Normal"/>
        <w:spacing w:before="0" w:after="0"/>
        <w:ind w:left="284"/>
        <w:jc w:val="both"/>
        <w:rPr>
          <w:rFonts w:ascii="Arial" w:hAnsi="Arial" w:cs="Arial"/>
          <w:sz w:val="20"/>
          <w:szCs w:val="20"/>
          <w:lang w:val="lt-LT"/>
        </w:rPr>
      </w:pPr>
      <w:r>
        <w:rPr>
          <w:rFonts w:cs="Arial" w:ascii="Arial" w:hAnsi="Arial"/>
          <w:sz w:val="20"/>
          <w:szCs w:val="20"/>
          <w:lang w:val="lt-LT"/>
        </w:rPr>
        <w:t>Gaisras, sprogimas, žaibo įtrenkimas, audra, vėtra, tiesioginis transporto priemonės, laivo ar lėktuvo atsitrenkimas, riaušės ar pilietiniai neramumai, vandalizmas ar tyčinė veika, sprinklerinės sistemos gedimai.</w:t>
      </w:r>
    </w:p>
    <w:p>
      <w:pPr>
        <w:pStyle w:val="Normal"/>
        <w:spacing w:before="0" w:after="0"/>
        <w:ind w:left="284"/>
        <w:jc w:val="both"/>
        <w:rPr>
          <w:rFonts w:ascii="Arial" w:hAnsi="Arial" w:cs="Arial"/>
          <w:sz w:val="20"/>
          <w:szCs w:val="20"/>
          <w:lang w:val="lt-LT"/>
        </w:rPr>
      </w:pPr>
      <w:r>
        <w:rPr>
          <w:rFonts w:cs="Arial" w:ascii="Arial" w:hAnsi="Arial"/>
          <w:sz w:val="20"/>
          <w:szCs w:val="20"/>
          <w:lang w:val="lt-LT"/>
        </w:rPr>
        <w:t>Ši išlyga yra taikoma visiems apribojimams, papildomai prie šių apribojimų:</w:t>
      </w:r>
    </w:p>
    <w:p>
      <w:pPr>
        <w:pStyle w:val="ListParagraph"/>
        <w:numPr>
          <w:ilvl w:val="0"/>
          <w:numId w:val="22"/>
        </w:numPr>
        <w:spacing w:lineRule="auto" w:line="240" w:before="0" w:after="0"/>
        <w:ind w:hanging="284" w:left="993"/>
        <w:contextualSpacing/>
        <w:jc w:val="both"/>
        <w:rPr>
          <w:rFonts w:ascii="Arial" w:hAnsi="Arial" w:cs="Arial"/>
          <w:sz w:val="20"/>
          <w:szCs w:val="20"/>
          <w:lang w:val="lt-LT"/>
        </w:rPr>
      </w:pPr>
      <w:r>
        <w:rPr>
          <w:rFonts w:cs="Arial" w:ascii="Arial" w:hAnsi="Arial"/>
          <w:sz w:val="20"/>
          <w:szCs w:val="20"/>
          <w:lang w:val="lt-LT"/>
        </w:rPr>
        <w:t>išvardintos rizikos turi būti staigi, tiesioginė žalos asbestui priežastis;</w:t>
      </w:r>
    </w:p>
    <w:p>
      <w:pPr>
        <w:pStyle w:val="ListParagraph"/>
        <w:numPr>
          <w:ilvl w:val="0"/>
          <w:numId w:val="23"/>
        </w:numPr>
        <w:spacing w:lineRule="auto" w:line="240" w:before="0" w:after="0"/>
        <w:ind w:hanging="426" w:left="1134"/>
        <w:contextualSpacing/>
        <w:jc w:val="both"/>
        <w:rPr>
          <w:rFonts w:ascii="Arial" w:hAnsi="Arial" w:cs="Arial"/>
          <w:sz w:val="20"/>
          <w:szCs w:val="20"/>
          <w:lang w:val="lt-LT"/>
        </w:rPr>
      </w:pPr>
      <w:r>
        <w:rPr>
          <w:rFonts w:cs="Arial" w:ascii="Arial" w:hAnsi="Arial"/>
          <w:sz w:val="20"/>
          <w:szCs w:val="20"/>
          <w:lang w:val="lt-LT"/>
        </w:rPr>
        <w:t xml:space="preserve">apdraustasis turi nedelsiant informuoti Draudiką apie žalos asbestui atsiradimą ir nuostolius. Nedelsiant reiškia per 3 (tris) darbo dienas. Bet kokiu atveju draudimo apsauga neapima jokios žalos, apie kurią pranešta daugiau kaip po 12 mėnesių nuo Sutarties galiojimo pasibaigimo; </w:t>
      </w:r>
    </w:p>
    <w:p>
      <w:pPr>
        <w:pStyle w:val="ListParagraph"/>
        <w:numPr>
          <w:ilvl w:val="0"/>
          <w:numId w:val="24"/>
        </w:numPr>
        <w:spacing w:lineRule="auto" w:line="240" w:before="0" w:after="0"/>
        <w:ind w:hanging="426" w:left="1134"/>
        <w:contextualSpacing/>
        <w:jc w:val="both"/>
        <w:rPr>
          <w:rFonts w:ascii="Arial" w:hAnsi="Arial" w:cs="Arial"/>
          <w:sz w:val="20"/>
          <w:szCs w:val="20"/>
          <w:lang w:val="lt-LT"/>
        </w:rPr>
      </w:pPr>
      <w:r>
        <w:rPr>
          <w:rFonts w:cs="Arial" w:ascii="Arial" w:hAnsi="Arial"/>
          <w:sz w:val="20"/>
          <w:szCs w:val="20"/>
          <w:lang w:val="lt-LT"/>
        </w:rPr>
        <w:t>taip pat neatlyginami nuostoliai, susiję su asbestu:</w:t>
      </w:r>
    </w:p>
    <w:p>
      <w:pPr>
        <w:pStyle w:val="Normal"/>
        <w:spacing w:before="0" w:after="0"/>
        <w:ind w:hanging="294" w:left="1843"/>
        <w:jc w:val="both"/>
        <w:rPr>
          <w:rFonts w:ascii="Arial" w:hAnsi="Arial" w:cs="Arial"/>
          <w:sz w:val="20"/>
          <w:szCs w:val="20"/>
          <w:lang w:val="lt-LT"/>
        </w:rPr>
      </w:pPr>
      <w:r>
        <w:rPr>
          <w:rFonts w:cs="Arial" w:ascii="Arial" w:hAnsi="Arial"/>
          <w:sz w:val="20"/>
          <w:szCs w:val="20"/>
          <w:lang w:val="lt-LT"/>
        </w:rPr>
        <w:t>(i) dėl klaidų projektuojant, gaminant ar instaliuojant asbestą;</w:t>
      </w:r>
    </w:p>
    <w:p>
      <w:pPr>
        <w:pStyle w:val="Normal"/>
        <w:spacing w:before="0" w:after="0"/>
        <w:ind w:firstLine="851" w:left="709"/>
        <w:jc w:val="both"/>
        <w:rPr>
          <w:rFonts w:ascii="Arial" w:hAnsi="Arial" w:cs="Arial"/>
          <w:sz w:val="20"/>
          <w:szCs w:val="20"/>
          <w:lang w:val="lt-LT"/>
        </w:rPr>
      </w:pPr>
      <w:r>
        <w:rPr>
          <w:rFonts w:cs="Arial" w:ascii="Arial" w:hAnsi="Arial"/>
          <w:sz w:val="20"/>
          <w:szCs w:val="20"/>
          <w:lang w:val="lt-LT"/>
        </w:rPr>
        <w:t>(ii) ne fizinis asbesto sugadinimas dėl išvardintų rizikų, įskaitant valdžios institucijų nurodymą ar prašymą;</w:t>
      </w:r>
    </w:p>
    <w:p>
      <w:pPr>
        <w:pStyle w:val="ListParagraph"/>
        <w:numPr>
          <w:ilvl w:val="0"/>
          <w:numId w:val="25"/>
        </w:numPr>
        <w:tabs>
          <w:tab w:val="clear" w:pos="720"/>
          <w:tab w:val="left" w:pos="426" w:leader="none"/>
          <w:tab w:val="left" w:pos="1134" w:leader="none"/>
        </w:tabs>
        <w:spacing w:lineRule="auto" w:line="240" w:before="0" w:after="0"/>
        <w:ind w:hanging="11" w:left="720"/>
        <w:contextualSpacing/>
        <w:jc w:val="both"/>
        <w:rPr>
          <w:rFonts w:ascii="Arial" w:hAnsi="Arial" w:cs="Arial"/>
          <w:sz w:val="20"/>
          <w:szCs w:val="20"/>
          <w:lang w:val="lt-LT"/>
        </w:rPr>
      </w:pPr>
      <w:r>
        <w:rPr>
          <w:rFonts w:cs="Arial" w:ascii="Arial" w:hAnsi="Arial"/>
          <w:sz w:val="20"/>
          <w:szCs w:val="20"/>
          <w:lang w:val="lt-LT"/>
        </w:rPr>
        <w:t>pastatas ar statinys turi būti apdraustas šioje TS išvardintomis rizikomis.</w:t>
      </w:r>
    </w:p>
    <w:p>
      <w:pPr>
        <w:pStyle w:val="Normal"/>
        <w:spacing w:before="0" w:after="0"/>
        <w:jc w:val="both"/>
        <w:rPr>
          <w:rFonts w:ascii="Arial" w:hAnsi="Arial" w:cs="Arial"/>
          <w:sz w:val="20"/>
          <w:szCs w:val="20"/>
          <w:lang w:val="lt-LT"/>
        </w:rPr>
      </w:pPr>
      <w:r>
        <w:rPr>
          <w:rFonts w:cs="Arial" w:ascii="Arial" w:hAnsi="Arial"/>
          <w:sz w:val="20"/>
          <w:szCs w:val="20"/>
          <w:lang w:val="lt-LT"/>
        </w:rPr>
      </w:r>
    </w:p>
    <w:p>
      <w:pPr>
        <w:pStyle w:val="ListParagraph"/>
        <w:numPr>
          <w:ilvl w:val="2"/>
          <w:numId w:val="7"/>
        </w:numPr>
        <w:spacing w:before="0" w:after="0"/>
        <w:contextualSpacing/>
        <w:jc w:val="both"/>
        <w:rPr>
          <w:rFonts w:ascii="Arial" w:hAnsi="Arial" w:cs="Arial"/>
          <w:b/>
          <w:bCs/>
          <w:sz w:val="20"/>
          <w:szCs w:val="20"/>
          <w:lang w:val="lt-LT"/>
        </w:rPr>
      </w:pPr>
      <w:r>
        <w:rPr>
          <w:rFonts w:cs="Arial" w:ascii="Arial" w:hAnsi="Arial"/>
          <w:b/>
          <w:bCs/>
          <w:sz w:val="20"/>
          <w:szCs w:val="20"/>
          <w:lang w:val="lt-LT"/>
        </w:rPr>
        <w:t>Priedas dėl kibernetinių rizikų</w:t>
      </w:r>
    </w:p>
    <w:p>
      <w:pPr>
        <w:pStyle w:val="ListParagraph"/>
        <w:spacing w:before="0" w:after="0"/>
        <w:ind w:left="360"/>
        <w:contextualSpacing/>
        <w:jc w:val="both"/>
        <w:rPr>
          <w:rFonts w:ascii="Arial" w:hAnsi="Arial" w:cs="Arial"/>
          <w:sz w:val="20"/>
          <w:szCs w:val="20"/>
          <w:lang w:val="lt-LT"/>
        </w:rPr>
      </w:pPr>
      <w:r>
        <w:rPr>
          <w:rFonts w:cs="Arial" w:ascii="Arial" w:hAnsi="Arial"/>
          <w:sz w:val="20"/>
          <w:szCs w:val="20"/>
          <w:lang w:val="lt-LT"/>
        </w:rPr>
        <w:t>Draudimo apsaugai yra taikomi ribojimai, numatyti LMA 5401 CYBER EXCLUSION.</w:t>
      </w:r>
    </w:p>
    <w:p>
      <w:pPr>
        <w:pStyle w:val="ListParagraph"/>
        <w:spacing w:before="0" w:after="0"/>
        <w:ind w:left="360"/>
        <w:contextualSpacing/>
        <w:jc w:val="both"/>
        <w:rPr>
          <w:rFonts w:ascii="Arial" w:hAnsi="Arial" w:cs="Arial"/>
          <w:sz w:val="20"/>
          <w:szCs w:val="20"/>
          <w:lang w:val="lt-LT"/>
        </w:rPr>
      </w:pPr>
      <w:r>
        <w:rPr>
          <w:rFonts w:cs="Arial" w:ascii="Arial" w:hAnsi="Arial"/>
          <w:sz w:val="20"/>
          <w:szCs w:val="20"/>
          <w:lang w:val="lt-LT"/>
        </w:rPr>
      </w:r>
    </w:p>
    <w:p>
      <w:pPr>
        <w:pStyle w:val="ListParagraph"/>
        <w:numPr>
          <w:ilvl w:val="2"/>
          <w:numId w:val="7"/>
        </w:numPr>
        <w:spacing w:before="0" w:after="0"/>
        <w:contextualSpacing/>
        <w:jc w:val="both"/>
        <w:rPr>
          <w:rFonts w:ascii="Arial" w:hAnsi="Arial" w:cs="Arial"/>
          <w:b/>
          <w:bCs/>
          <w:sz w:val="20"/>
          <w:szCs w:val="20"/>
          <w:lang w:val="lt-LT"/>
        </w:rPr>
      </w:pPr>
      <w:r>
        <w:rPr>
          <w:rFonts w:cs="Arial" w:ascii="Arial" w:hAnsi="Arial"/>
          <w:b/>
          <w:bCs/>
          <w:sz w:val="20"/>
          <w:szCs w:val="20"/>
          <w:lang w:val="lt-LT"/>
        </w:rPr>
        <w:t>Priedas dėl rizikų, susijusių su ligomis</w:t>
      </w:r>
    </w:p>
    <w:p>
      <w:pPr>
        <w:pStyle w:val="ListParagraph"/>
        <w:ind w:left="360"/>
        <w:jc w:val="both"/>
        <w:rPr>
          <w:rFonts w:ascii="Arial" w:hAnsi="Arial" w:cs="Arial"/>
          <w:sz w:val="20"/>
          <w:szCs w:val="20"/>
          <w:lang w:val="lt-LT"/>
        </w:rPr>
      </w:pPr>
      <w:r>
        <w:rPr>
          <w:rFonts w:cs="Arial" w:ascii="Arial" w:hAnsi="Arial"/>
          <w:sz w:val="20"/>
          <w:szCs w:val="20"/>
          <w:lang w:val="lt-LT"/>
        </w:rPr>
        <w:t>Draudimo apsaugai yra taikomi ribojimai, numatyti LMA 5393 COMMUNICABLE DISEASE ENDORSEMENT.</w:t>
      </w:r>
      <w:r>
        <w:br w:type="page"/>
      </w:r>
    </w:p>
    <w:p>
      <w:pPr>
        <w:pStyle w:val="ListParagraph"/>
        <w:numPr>
          <w:ilvl w:val="0"/>
          <w:numId w:val="2"/>
        </w:numPr>
        <w:pBdr>
          <w:top w:val="single" w:sz="8" w:space="1" w:color="000000"/>
          <w:bottom w:val="single" w:sz="8" w:space="1" w:color="000000"/>
        </w:pBdr>
        <w:tabs>
          <w:tab w:val="clear" w:pos="720"/>
          <w:tab w:val="left" w:pos="284" w:leader="none"/>
        </w:tabs>
        <w:spacing w:lineRule="atLeast" w:line="240" w:before="0" w:after="60"/>
        <w:ind w:hanging="0" w:left="0"/>
        <w:contextualSpacing/>
        <w:rPr>
          <w:rFonts w:ascii="Arial" w:hAnsi="Arial" w:cs="Arial"/>
          <w:b/>
          <w:sz w:val="20"/>
          <w:szCs w:val="20"/>
          <w:lang w:val="lt-LT"/>
        </w:rPr>
      </w:pPr>
      <w:r>
        <w:rPr>
          <w:rFonts w:cs="Arial" w:ascii="Arial" w:hAnsi="Arial"/>
          <w:b/>
          <w:sz w:val="20"/>
          <w:szCs w:val="20"/>
          <w:lang w:val="lt-LT"/>
        </w:rPr>
        <w:t>INFORMACIJA RIZIKOS VERTINIMUI</w:t>
      </w:r>
    </w:p>
    <w:p>
      <w:pPr>
        <w:pStyle w:val="ListParagraph"/>
        <w:keepNext w:val="true"/>
        <w:numPr>
          <w:ilvl w:val="0"/>
          <w:numId w:val="0"/>
        </w:numPr>
        <w:spacing w:lineRule="auto" w:line="240" w:before="0" w:after="0"/>
        <w:ind w:left="864"/>
        <w:contextualSpacing/>
        <w:jc w:val="both"/>
        <w:outlineLvl w:val="0"/>
        <w:rPr>
          <w:rFonts w:ascii="Arial" w:hAnsi="Arial" w:eastAsia="Times New Roman" w:cs="Arial"/>
          <w:b/>
          <w:sz w:val="20"/>
          <w:szCs w:val="20"/>
          <w:lang w:val="lt-LT"/>
        </w:rPr>
      </w:pPr>
      <w:r>
        <w:rPr>
          <w:rFonts w:eastAsia="Times New Roman" w:cs="Arial" w:ascii="Arial" w:hAnsi="Arial"/>
          <w:b/>
          <w:sz w:val="20"/>
          <w:szCs w:val="20"/>
          <w:lang w:val="lt-LT"/>
        </w:rPr>
      </w:r>
    </w:p>
    <w:p>
      <w:pPr>
        <w:pStyle w:val="ListParagraph"/>
        <w:keepNext w:val="true"/>
        <w:numPr>
          <w:ilvl w:val="1"/>
          <w:numId w:val="9"/>
        </w:numPr>
        <w:spacing w:lineRule="auto" w:line="240" w:before="0" w:after="0"/>
        <w:contextualSpacing/>
        <w:jc w:val="both"/>
        <w:outlineLvl w:val="0"/>
        <w:rPr>
          <w:rFonts w:ascii="Arial" w:hAnsi="Arial" w:eastAsia="Times New Roman" w:cs="Arial"/>
          <w:b/>
          <w:sz w:val="20"/>
          <w:szCs w:val="20"/>
          <w:lang w:val="lt-LT"/>
        </w:rPr>
      </w:pPr>
      <w:r>
        <w:rPr>
          <w:rFonts w:eastAsia="Times New Roman" w:cs="Arial" w:ascii="Arial" w:hAnsi="Arial"/>
          <w:b/>
          <w:sz w:val="20"/>
          <w:szCs w:val="20"/>
          <w:lang w:val="lt-LT"/>
        </w:rPr>
        <w:t xml:space="preserve"> </w:t>
      </w:r>
      <w:r>
        <w:rPr>
          <w:rFonts w:eastAsia="Times New Roman" w:cs="Arial" w:ascii="Arial" w:hAnsi="Arial"/>
          <w:b/>
          <w:sz w:val="20"/>
          <w:szCs w:val="20"/>
          <w:lang w:val="lt-LT"/>
        </w:rPr>
        <w:t>Nuostolių istorija:</w:t>
      </w:r>
    </w:p>
    <w:p>
      <w:pPr>
        <w:pStyle w:val="Normal"/>
        <w:spacing w:lineRule="auto" w:line="240" w:before="0" w:after="0"/>
        <w:jc w:val="both"/>
        <w:rPr>
          <w:rFonts w:ascii="Arial" w:hAnsi="Arial" w:eastAsia="Times New Roman" w:cs="Arial"/>
          <w:sz w:val="20"/>
          <w:szCs w:val="20"/>
          <w:lang w:val="lt-LT"/>
        </w:rPr>
      </w:pPr>
      <w:r>
        <w:rPr>
          <w:rFonts w:eastAsia="Times New Roman" w:cs="Arial" w:ascii="Arial" w:hAnsi="Arial"/>
          <w:sz w:val="20"/>
          <w:szCs w:val="20"/>
          <w:lang w:val="lt-LT"/>
        </w:rPr>
      </w:r>
    </w:p>
    <w:tbl>
      <w:tblPr>
        <w:tblStyle w:val="Lentelstinklelis"/>
        <w:tblW w:w="10378"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1868"/>
        <w:gridCol w:w="1286"/>
        <w:gridCol w:w="1197"/>
        <w:gridCol w:w="1231"/>
        <w:gridCol w:w="1267"/>
        <w:gridCol w:w="1109"/>
        <w:gridCol w:w="981"/>
        <w:gridCol w:w="1437"/>
      </w:tblGrid>
      <w:tr>
        <w:trPr>
          <w:trHeight w:val="429" w:hRule="atLeast"/>
        </w:trPr>
        <w:tc>
          <w:tcPr>
            <w:tcW w:w="1868"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Calibri" w:cs="Arial" w:ascii="Arial" w:hAnsi="Arial"/>
                <w:kern w:val="0"/>
                <w:sz w:val="20"/>
                <w:szCs w:val="20"/>
                <w:lang w:val="lt-LT" w:eastAsia="lt-LT" w:bidi="ar-SA"/>
              </w:rPr>
              <w:t>Laikotarpis</w:t>
            </w:r>
          </w:p>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Calibri" w:cs="Arial" w:ascii="Arial" w:hAnsi="Arial"/>
                <w:kern w:val="0"/>
                <w:sz w:val="20"/>
                <w:szCs w:val="20"/>
                <w:lang w:val="lt-LT" w:eastAsia="lt-LT" w:bidi="ar-SA"/>
              </w:rPr>
              <w:t>(pagal kalendorinius metus)</w:t>
            </w:r>
          </w:p>
        </w:tc>
        <w:tc>
          <w:tcPr>
            <w:tcW w:w="1286"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b/>
              </w:rPr>
            </w:pPr>
            <w:r>
              <w:rPr>
                <w:rFonts w:eastAsia="Calibri" w:cs="Arial" w:ascii="Arial" w:hAnsi="Arial"/>
                <w:b/>
                <w:kern w:val="0"/>
                <w:sz w:val="20"/>
                <w:szCs w:val="20"/>
                <w:lang w:val="lt-LT" w:eastAsia="lt-LT" w:bidi="ar-SA"/>
              </w:rPr>
              <w:t>2020</w:t>
            </w:r>
          </w:p>
        </w:tc>
        <w:tc>
          <w:tcPr>
            <w:tcW w:w="119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b/>
              </w:rPr>
            </w:pPr>
            <w:r>
              <w:rPr>
                <w:rFonts w:eastAsia="Calibri" w:cs="Arial" w:ascii="Arial" w:hAnsi="Arial"/>
                <w:b/>
                <w:kern w:val="0"/>
                <w:sz w:val="20"/>
                <w:szCs w:val="20"/>
                <w:lang w:val="lt-LT" w:eastAsia="lt-LT" w:bidi="ar-SA"/>
              </w:rPr>
              <w:t xml:space="preserve"> </w:t>
            </w:r>
            <w:r>
              <w:rPr>
                <w:rFonts w:eastAsia="Calibri" w:cs="Arial" w:ascii="Arial" w:hAnsi="Arial"/>
                <w:b/>
                <w:kern w:val="0"/>
                <w:sz w:val="20"/>
                <w:szCs w:val="20"/>
                <w:lang w:val="lt-LT" w:eastAsia="lt-LT" w:bidi="ar-SA"/>
              </w:rPr>
              <w:t>2021</w:t>
            </w:r>
          </w:p>
        </w:tc>
        <w:tc>
          <w:tcPr>
            <w:tcW w:w="1231"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b/>
              </w:rPr>
            </w:pPr>
            <w:r>
              <w:rPr>
                <w:rFonts w:eastAsia="Calibri" w:cs="Arial" w:ascii="Arial" w:hAnsi="Arial"/>
                <w:b/>
                <w:kern w:val="0"/>
                <w:sz w:val="20"/>
                <w:szCs w:val="20"/>
                <w:lang w:val="lt-LT" w:eastAsia="lt-LT" w:bidi="ar-SA"/>
              </w:rPr>
              <w:t>2022</w:t>
            </w:r>
          </w:p>
        </w:tc>
        <w:tc>
          <w:tcPr>
            <w:tcW w:w="126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b/>
              </w:rPr>
            </w:pPr>
            <w:r>
              <w:rPr>
                <w:rFonts w:eastAsia="Calibri" w:cs="Arial" w:ascii="Arial" w:hAnsi="Arial"/>
                <w:b/>
                <w:kern w:val="0"/>
                <w:sz w:val="20"/>
                <w:szCs w:val="20"/>
                <w:lang w:val="lt-LT" w:eastAsia="lt-LT" w:bidi="ar-SA"/>
              </w:rPr>
              <w:t>2023</w:t>
            </w:r>
          </w:p>
        </w:tc>
        <w:tc>
          <w:tcPr>
            <w:tcW w:w="1109"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b/>
              </w:rPr>
            </w:pPr>
            <w:r>
              <w:rPr>
                <w:rFonts w:eastAsia="Calibri" w:cs="Arial" w:ascii="Arial" w:hAnsi="Arial"/>
                <w:b/>
                <w:kern w:val="0"/>
                <w:sz w:val="20"/>
                <w:szCs w:val="20"/>
                <w:lang w:val="lt-LT" w:eastAsia="lt-LT" w:bidi="ar-SA"/>
              </w:rPr>
              <w:t>2024</w:t>
            </w:r>
          </w:p>
        </w:tc>
        <w:tc>
          <w:tcPr>
            <w:tcW w:w="981"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b/>
              </w:rPr>
            </w:pPr>
            <w:r>
              <w:rPr>
                <w:rFonts w:eastAsia="Calibri" w:cs="Arial" w:ascii="Arial" w:hAnsi="Arial"/>
                <w:b/>
                <w:kern w:val="0"/>
                <w:sz w:val="20"/>
                <w:szCs w:val="20"/>
                <w:lang w:val="lt-LT" w:eastAsia="lt-LT" w:bidi="ar-SA"/>
              </w:rPr>
              <w:t>2025</w:t>
            </w:r>
          </w:p>
        </w:tc>
        <w:tc>
          <w:tcPr>
            <w:tcW w:w="143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b/>
              </w:rPr>
            </w:pPr>
            <w:r>
              <w:rPr>
                <w:rFonts w:eastAsia="Calibri" w:cs="Arial" w:ascii="Arial" w:hAnsi="Arial"/>
                <w:b/>
                <w:kern w:val="0"/>
                <w:sz w:val="20"/>
                <w:szCs w:val="20"/>
                <w:lang w:val="lt-LT" w:eastAsia="lt-LT" w:bidi="ar-SA"/>
              </w:rPr>
              <w:t>2026 (iki 07 15)</w:t>
            </w:r>
          </w:p>
        </w:tc>
      </w:tr>
      <w:tr>
        <w:trPr>
          <w:trHeight w:val="437" w:hRule="atLeast"/>
        </w:trPr>
        <w:tc>
          <w:tcPr>
            <w:tcW w:w="1868" w:type="dxa"/>
            <w:tcBorders/>
            <w:vAlign w:val="center"/>
          </w:tcPr>
          <w:p>
            <w:pPr>
              <w:pStyle w:val="Normal"/>
              <w:widowControl/>
              <w:tabs>
                <w:tab w:val="clear" w:pos="720"/>
                <w:tab w:val="left" w:pos="567" w:leader="none"/>
              </w:tabs>
              <w:suppressAutoHyphens w:val="true"/>
              <w:spacing w:lineRule="auto" w:line="240" w:before="0" w:after="0"/>
              <w:jc w:val="both"/>
              <w:rPr>
                <w:rFonts w:ascii="Arial" w:hAnsi="Arial" w:eastAsia="Calibri" w:cs="Arial"/>
              </w:rPr>
            </w:pPr>
            <w:r>
              <w:rPr>
                <w:rFonts w:eastAsia="Calibri" w:cs="Arial" w:ascii="Arial" w:hAnsi="Arial"/>
                <w:kern w:val="0"/>
                <w:sz w:val="20"/>
                <w:szCs w:val="20"/>
                <w:lang w:val="lt-LT" w:eastAsia="lt-LT" w:bidi="ar-SA"/>
              </w:rPr>
              <w:t>Įvykių skaičius, vnt.</w:t>
            </w:r>
          </w:p>
        </w:tc>
        <w:tc>
          <w:tcPr>
            <w:tcW w:w="1286"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highlight w:val="yellow"/>
              </w:rPr>
            </w:pPr>
            <w:r>
              <w:rPr>
                <w:rFonts w:eastAsia="Times New Roman" w:cs="Arial" w:ascii="Arial" w:hAnsi="Arial"/>
                <w:color w:val="000000"/>
                <w:kern w:val="2"/>
                <w:sz w:val="20"/>
                <w:szCs w:val="20"/>
                <w:lang w:val="lt-LT" w:eastAsia="lt-LT" w:bidi="ar-SA"/>
              </w:rPr>
              <w:t>1</w:t>
            </w:r>
          </w:p>
        </w:tc>
        <w:tc>
          <w:tcPr>
            <w:tcW w:w="119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Times New Roman" w:cs="Arial" w:ascii="Arial" w:hAnsi="Arial"/>
                <w:kern w:val="0"/>
                <w:sz w:val="20"/>
                <w:szCs w:val="20"/>
                <w:lang w:val="lt-LT" w:eastAsia="lt-LT" w:bidi="ar-SA"/>
              </w:rPr>
              <w:t>2</w:t>
            </w:r>
          </w:p>
        </w:tc>
        <w:tc>
          <w:tcPr>
            <w:tcW w:w="1231"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Times New Roman" w:cs="Arial" w:ascii="Arial" w:hAnsi="Arial"/>
                <w:kern w:val="0"/>
                <w:sz w:val="20"/>
                <w:szCs w:val="20"/>
                <w:lang w:val="lt-LT" w:eastAsia="lt-LT" w:bidi="ar-SA"/>
              </w:rPr>
              <w:t>0</w:t>
            </w:r>
          </w:p>
        </w:tc>
        <w:tc>
          <w:tcPr>
            <w:tcW w:w="126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Times New Roman" w:cs="Arial" w:ascii="Arial" w:hAnsi="Arial"/>
                <w:kern w:val="0"/>
                <w:sz w:val="20"/>
                <w:szCs w:val="20"/>
                <w:lang w:val="lt-LT" w:eastAsia="lt-LT" w:bidi="ar-SA"/>
              </w:rPr>
              <w:t>0</w:t>
            </w:r>
          </w:p>
        </w:tc>
        <w:tc>
          <w:tcPr>
            <w:tcW w:w="1109"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Times New Roman" w:cs="Arial" w:ascii="Arial" w:hAnsi="Arial"/>
                <w:kern w:val="0"/>
                <w:sz w:val="20"/>
                <w:szCs w:val="20"/>
                <w:lang w:val="lt-LT" w:eastAsia="lt-LT" w:bidi="ar-SA"/>
              </w:rPr>
              <w:t>2</w:t>
            </w:r>
          </w:p>
        </w:tc>
        <w:tc>
          <w:tcPr>
            <w:tcW w:w="981"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Calibri" w:cs="Arial" w:ascii="Arial" w:hAnsi="Arial"/>
                <w:kern w:val="0"/>
                <w:sz w:val="20"/>
                <w:szCs w:val="20"/>
                <w:lang w:val="lt-LT" w:eastAsia="lt-LT" w:bidi="ar-SA"/>
              </w:rPr>
              <w:t>0</w:t>
            </w:r>
          </w:p>
        </w:tc>
        <w:tc>
          <w:tcPr>
            <w:tcW w:w="143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Calibri" w:cs="Arial" w:ascii="Arial" w:hAnsi="Arial"/>
                <w:kern w:val="0"/>
                <w:sz w:val="20"/>
                <w:szCs w:val="20"/>
                <w:lang w:val="lt-LT" w:eastAsia="lt-LT" w:bidi="ar-SA"/>
              </w:rPr>
              <w:t>2</w:t>
            </w:r>
          </w:p>
        </w:tc>
      </w:tr>
      <w:tr>
        <w:trPr>
          <w:trHeight w:val="516" w:hRule="atLeast"/>
        </w:trPr>
        <w:tc>
          <w:tcPr>
            <w:tcW w:w="1868" w:type="dxa"/>
            <w:tcBorders/>
            <w:vAlign w:val="center"/>
          </w:tcPr>
          <w:p>
            <w:pPr>
              <w:pStyle w:val="Normal"/>
              <w:widowControl/>
              <w:tabs>
                <w:tab w:val="clear" w:pos="720"/>
                <w:tab w:val="left" w:pos="567" w:leader="none"/>
              </w:tabs>
              <w:suppressAutoHyphens w:val="true"/>
              <w:spacing w:lineRule="auto" w:line="240" w:before="0" w:after="0"/>
              <w:jc w:val="both"/>
              <w:rPr>
                <w:rFonts w:ascii="Arial" w:hAnsi="Arial" w:eastAsia="Calibri" w:cs="Arial"/>
              </w:rPr>
            </w:pPr>
            <w:r>
              <w:rPr>
                <w:rFonts w:eastAsia="Calibri" w:cs="Arial" w:ascii="Arial" w:hAnsi="Arial"/>
                <w:kern w:val="0"/>
                <w:sz w:val="20"/>
                <w:szCs w:val="20"/>
                <w:lang w:val="lt-LT" w:eastAsia="lt-LT" w:bidi="ar-SA"/>
              </w:rPr>
              <w:t>Išmokos ir rezervai, atėmus regresus, Eur</w:t>
            </w:r>
          </w:p>
        </w:tc>
        <w:tc>
          <w:tcPr>
            <w:tcW w:w="1286"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highlight w:val="yellow"/>
              </w:rPr>
            </w:pPr>
            <w:r>
              <w:rPr>
                <w:rFonts w:eastAsia="Times New Roman" w:cs="Arial" w:ascii="Arial" w:hAnsi="Arial"/>
                <w:color w:val="000000"/>
                <w:kern w:val="2"/>
                <w:sz w:val="20"/>
                <w:szCs w:val="20"/>
                <w:lang w:val="lt-LT" w:eastAsia="lt-LT" w:bidi="ar-SA"/>
              </w:rPr>
              <w:t>2 812,00</w:t>
            </w:r>
          </w:p>
        </w:tc>
        <w:tc>
          <w:tcPr>
            <w:tcW w:w="119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highlight w:val="yellow"/>
              </w:rPr>
            </w:pPr>
            <w:r>
              <w:rPr>
                <w:rFonts w:eastAsia="Times New Roman" w:cs="Arial" w:ascii="Arial" w:hAnsi="Arial"/>
                <w:color w:themeColor="text1" w:val="000000"/>
                <w:kern w:val="2"/>
                <w:sz w:val="20"/>
                <w:szCs w:val="20"/>
                <w:lang w:val="lt-LT" w:eastAsia="lt-LT" w:bidi="ar-SA"/>
              </w:rPr>
              <w:t>18 113,64</w:t>
            </w:r>
          </w:p>
        </w:tc>
        <w:tc>
          <w:tcPr>
            <w:tcW w:w="1231"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highlight w:val="yellow"/>
              </w:rPr>
            </w:pPr>
            <w:r>
              <w:rPr>
                <w:rFonts w:eastAsia="Times New Roman" w:cs="Arial" w:ascii="Arial" w:hAnsi="Arial"/>
                <w:color w:themeColor="text1" w:val="000000"/>
                <w:kern w:val="2"/>
                <w:sz w:val="20"/>
                <w:szCs w:val="20"/>
                <w:lang w:val="lt-LT" w:eastAsia="lt-LT" w:bidi="ar-SA"/>
              </w:rPr>
              <w:t>0</w:t>
            </w:r>
          </w:p>
        </w:tc>
        <w:tc>
          <w:tcPr>
            <w:tcW w:w="126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highlight w:val="yellow"/>
              </w:rPr>
            </w:pPr>
            <w:r>
              <w:rPr>
                <w:rFonts w:eastAsia="Times New Roman" w:cs="Arial" w:ascii="Arial" w:hAnsi="Arial"/>
                <w:color w:themeColor="text1" w:val="000000"/>
                <w:kern w:val="2"/>
                <w:sz w:val="20"/>
                <w:szCs w:val="20"/>
                <w:lang w:val="lt-LT" w:eastAsia="lt-LT" w:bidi="ar-SA"/>
              </w:rPr>
              <w:t>0</w:t>
            </w:r>
          </w:p>
        </w:tc>
        <w:tc>
          <w:tcPr>
            <w:tcW w:w="1109"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highlight w:val="yellow"/>
              </w:rPr>
            </w:pPr>
            <w:r>
              <w:rPr>
                <w:rFonts w:eastAsia="Times New Roman" w:cs="Arial" w:ascii="Arial" w:hAnsi="Arial"/>
                <w:color w:themeColor="text1" w:val="000000"/>
                <w:kern w:val="2"/>
                <w:sz w:val="20"/>
                <w:szCs w:val="20"/>
                <w:lang w:val="lt-LT" w:eastAsia="lt-LT" w:bidi="ar-SA"/>
              </w:rPr>
              <w:t>10 040,36</w:t>
            </w:r>
          </w:p>
        </w:tc>
        <w:tc>
          <w:tcPr>
            <w:tcW w:w="981"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Calibri" w:cs="Arial" w:ascii="Arial" w:hAnsi="Arial"/>
                <w:kern w:val="0"/>
                <w:sz w:val="20"/>
                <w:szCs w:val="20"/>
                <w:lang w:val="lt-LT" w:eastAsia="lt-LT" w:bidi="ar-SA"/>
              </w:rPr>
              <w:t>0</w:t>
            </w:r>
          </w:p>
        </w:tc>
        <w:tc>
          <w:tcPr>
            <w:tcW w:w="1437" w:type="dxa"/>
            <w:tcBorders/>
            <w:vAlign w:val="center"/>
          </w:tcPr>
          <w:p>
            <w:pPr>
              <w:pStyle w:val="Normal"/>
              <w:widowControl/>
              <w:tabs>
                <w:tab w:val="clear" w:pos="720"/>
                <w:tab w:val="left" w:pos="567" w:leader="none"/>
              </w:tabs>
              <w:suppressAutoHyphens w:val="true"/>
              <w:spacing w:lineRule="auto" w:line="240" w:before="0" w:after="0"/>
              <w:jc w:val="center"/>
              <w:rPr>
                <w:rFonts w:ascii="Arial" w:hAnsi="Arial" w:eastAsia="Calibri" w:cs="Arial"/>
              </w:rPr>
            </w:pPr>
            <w:r>
              <w:rPr>
                <w:rFonts w:eastAsia="Calibri" w:cs="Arial" w:ascii="Arial" w:hAnsi="Arial"/>
                <w:kern w:val="0"/>
                <w:sz w:val="20"/>
                <w:szCs w:val="20"/>
                <w:lang w:val="lt-LT" w:eastAsia="lt-LT" w:bidi="ar-SA"/>
              </w:rPr>
              <w:t>65 731,00</w:t>
            </w:r>
          </w:p>
        </w:tc>
      </w:tr>
    </w:tbl>
    <w:p>
      <w:pPr>
        <w:pStyle w:val="Normal"/>
        <w:spacing w:lineRule="auto" w:line="240" w:before="0" w:after="0"/>
        <w:jc w:val="both"/>
        <w:rPr>
          <w:rFonts w:ascii="Arial" w:hAnsi="Arial" w:eastAsia="Times New Roman" w:cs="Arial"/>
          <w:b/>
          <w:sz w:val="20"/>
          <w:szCs w:val="20"/>
          <w:lang w:val="lt-LT"/>
        </w:rPr>
      </w:pPr>
      <w:r>
        <w:rPr>
          <w:rFonts w:eastAsia="Times New Roman" w:cs="Arial" w:ascii="Arial" w:hAnsi="Arial"/>
          <w:b/>
          <w:sz w:val="20"/>
          <w:szCs w:val="20"/>
          <w:lang w:val="lt-LT"/>
        </w:rPr>
      </w:r>
    </w:p>
    <w:p>
      <w:pPr>
        <w:pStyle w:val="Normal"/>
        <w:spacing w:lineRule="auto" w:line="240" w:before="0" w:after="0"/>
        <w:jc w:val="both"/>
        <w:rPr>
          <w:rFonts w:ascii="Arial" w:hAnsi="Arial" w:eastAsia="Times New Roman" w:cs="Arial"/>
          <w:b/>
          <w:i/>
          <w:i/>
          <w:sz w:val="20"/>
          <w:szCs w:val="20"/>
          <w:lang w:val="lt-LT"/>
        </w:rPr>
      </w:pPr>
      <w:r>
        <w:rPr>
          <w:rFonts w:eastAsia="Times New Roman" w:cs="Arial" w:ascii="Arial" w:hAnsi="Arial"/>
          <w:b/>
          <w:i/>
          <w:sz w:val="20"/>
          <w:szCs w:val="20"/>
          <w:lang w:val="lt-LT"/>
        </w:rPr>
      </w:r>
    </w:p>
    <w:p>
      <w:pPr>
        <w:pStyle w:val="ListParagraph"/>
        <w:keepNext w:val="true"/>
        <w:numPr>
          <w:ilvl w:val="1"/>
          <w:numId w:val="9"/>
        </w:numPr>
        <w:spacing w:lineRule="auto" w:line="240" w:before="0" w:after="0"/>
        <w:contextualSpacing/>
        <w:jc w:val="both"/>
        <w:outlineLvl w:val="0"/>
        <w:rPr>
          <w:rFonts w:ascii="Arial" w:hAnsi="Arial" w:eastAsia="Times New Roman" w:cs="Arial"/>
          <w:b/>
          <w:sz w:val="20"/>
          <w:szCs w:val="20"/>
          <w:lang w:val="lt-LT"/>
        </w:rPr>
      </w:pPr>
      <w:r>
        <w:rPr>
          <w:rFonts w:eastAsia="Times New Roman" w:cs="Arial" w:ascii="Arial" w:hAnsi="Arial"/>
          <w:b/>
          <w:sz w:val="20"/>
          <w:szCs w:val="20"/>
          <w:lang w:val="lt-LT"/>
        </w:rPr>
        <w:t>TS Priedai</w:t>
      </w:r>
    </w:p>
    <w:p>
      <w:pPr>
        <w:pStyle w:val="Normal"/>
        <w:keepNext w:val="true"/>
        <w:numPr>
          <w:ilvl w:val="0"/>
          <w:numId w:val="0"/>
        </w:numPr>
        <w:spacing w:lineRule="auto" w:line="240" w:before="0" w:after="0"/>
        <w:ind w:left="360"/>
        <w:jc w:val="both"/>
        <w:outlineLvl w:val="0"/>
        <w:rPr>
          <w:rFonts w:ascii="Arial" w:hAnsi="Arial" w:eastAsia="Times New Roman" w:cs="Arial"/>
          <w:b/>
          <w:sz w:val="20"/>
          <w:szCs w:val="20"/>
          <w:lang w:val="lt-LT"/>
        </w:rPr>
      </w:pPr>
      <w:r>
        <w:rPr>
          <w:rFonts w:eastAsia="Times New Roman" w:cs="Arial" w:ascii="Arial" w:hAnsi="Arial"/>
          <w:b/>
          <w:sz w:val="20"/>
          <w:szCs w:val="20"/>
          <w:lang w:val="lt-LT"/>
        </w:rPr>
      </w:r>
    </w:p>
    <w:p>
      <w:pPr>
        <w:pStyle w:val="Normal"/>
        <w:spacing w:lineRule="auto" w:line="240" w:before="0" w:after="0"/>
        <w:ind w:left="426"/>
        <w:jc w:val="both"/>
        <w:rPr>
          <w:rFonts w:ascii="Arial" w:hAnsi="Arial" w:eastAsia="Calibri" w:cs="Arial"/>
          <w:sz w:val="20"/>
          <w:szCs w:val="20"/>
          <w:lang w:val="lt-LT" w:eastAsia="lt-LT"/>
        </w:rPr>
      </w:pPr>
      <w:r>
        <w:rPr>
          <w:rFonts w:eastAsia="Calibri" w:cs="Arial" w:ascii="Arial" w:hAnsi="Arial"/>
          <w:sz w:val="20"/>
          <w:szCs w:val="20"/>
          <w:lang w:val="lt-LT" w:eastAsia="lt-LT"/>
        </w:rPr>
        <w:t>Apdraudžiamų objektų sąrašai:</w:t>
      </w:r>
    </w:p>
    <w:p>
      <w:pPr>
        <w:pStyle w:val="ListParagraph"/>
        <w:tabs>
          <w:tab w:val="clear" w:pos="720"/>
          <w:tab w:val="left" w:pos="1276" w:leader="none"/>
        </w:tabs>
        <w:spacing w:lineRule="auto" w:line="240" w:before="0" w:after="0"/>
        <w:ind w:left="107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Priedas Nr. 1:</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Administraciniai;</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Gyvenamosios;</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Gamybiniai;</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Pagalbiniai;</w:t>
      </w:r>
    </w:p>
    <w:p>
      <w:pPr>
        <w:pStyle w:val="ListParagraph"/>
        <w:tabs>
          <w:tab w:val="clear" w:pos="720"/>
          <w:tab w:val="left" w:pos="1276" w:leader="none"/>
        </w:tabs>
        <w:spacing w:lineRule="auto" w:line="240" w:before="0" w:after="0"/>
        <w:ind w:left="107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 xml:space="preserve">Priedas Nr. 2: </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Administraciniai;</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Gyvenamosios;</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Gamybiniai;</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Pagalbiniai;</w:t>
      </w:r>
    </w:p>
    <w:p>
      <w:pPr>
        <w:pStyle w:val="ListParagraph"/>
        <w:numPr>
          <w:ilvl w:val="1"/>
          <w:numId w:val="14"/>
        </w:numPr>
        <w:tabs>
          <w:tab w:val="clear" w:pos="720"/>
          <w:tab w:val="left" w:pos="1276" w:leader="none"/>
        </w:tabs>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t>Rekreaciniai.</w:t>
      </w:r>
    </w:p>
    <w:p>
      <w:pPr>
        <w:pStyle w:val="ListParagraph"/>
        <w:spacing w:lineRule="auto" w:line="240" w:before="0" w:after="0"/>
        <w:contextualSpacing/>
        <w:jc w:val="both"/>
        <w:rPr>
          <w:rFonts w:ascii="Arial" w:hAnsi="Arial" w:eastAsia="Calibri" w:cs="Arial"/>
          <w:sz w:val="20"/>
          <w:szCs w:val="20"/>
          <w:lang w:val="lt-LT" w:eastAsia="lt-LT"/>
        </w:rPr>
      </w:pPr>
      <w:r>
        <w:rPr>
          <w:rFonts w:eastAsia="Calibri" w:cs="Arial" w:ascii="Arial" w:hAnsi="Arial"/>
          <w:sz w:val="20"/>
          <w:szCs w:val="20"/>
          <w:lang w:val="lt-LT" w:eastAsia="lt-LT"/>
        </w:rPr>
      </w:r>
    </w:p>
    <w:sectPr>
      <w:headerReference w:type="even" r:id="rId2"/>
      <w:headerReference w:type="default" r:id="rId3"/>
      <w:headerReference w:type="first" r:id="rId4"/>
      <w:type w:val="nextPage"/>
      <w:pgSz w:w="12240" w:h="15840"/>
      <w:pgMar w:left="1418" w:right="567" w:gutter="0" w:header="227" w:top="1701" w:footer="0" w:bottom="1134"/>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swiss"/>
    <w:pitch w:val="variable"/>
  </w:font>
  <w:font w:name="Liberation Sans">
    <w:altName w:val="Arial"/>
    <w:charset w:val="00"/>
    <w:family w:val="swiss"/>
    <w:pitch w:val="variable"/>
  </w:font>
  <w:font w:name="Verdana">
    <w:charset w:val="00"/>
    <w:family w:val="swiss"/>
    <w:pitch w:val="variable"/>
  </w:font>
  <w:font w:name="Wingdings">
    <w:charset w:val="02"/>
    <w:family w:val="auto"/>
    <w:pitch w:val="variable"/>
  </w:font>
  <w:font w:name="Courier New">
    <w:charset w:val="01"/>
    <w:family w:val="modern"/>
    <w:pitch w:val="fixed"/>
  </w:font>
  <w:font w:name="Calibri">
    <w:charset w:val="01"/>
    <w:family w:val="swiss"/>
    <w:pitch w:val="variable"/>
  </w:font>
  <w:font w:name="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lang w:val="lt-LT"/>
      </w:rPr>
    </w:pPr>
    <w:r>
      <w:rPr/>
      <w:drawing>
        <wp:inline distT="0" distB="0" distL="0" distR="0">
          <wp:extent cx="1190625" cy="552450"/>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1"/>
                  <a:stretch>
                    <a:fillRect/>
                  </a:stretch>
                </pic:blipFill>
                <pic:spPr bwMode="auto">
                  <a:xfrm>
                    <a:off x="0" y="0"/>
                    <a:ext cx="1190625" cy="552450"/>
                  </a:xfrm>
                  <a:prstGeom prst="rect">
                    <a:avLst/>
                  </a:prstGeom>
                  <a:noFill/>
                </pic:spPr>
              </pic:pic>
            </a:graphicData>
          </a:graphic>
        </wp:inline>
      </w:drawing>
    </w:r>
    <w:r>
      <w:rPr>
        <w:rFonts w:cs="Arial" w:ascii="Arial" w:hAnsi="Arial"/>
        <w:sz w:val="20"/>
        <w:szCs w:val="20"/>
        <w:lang w:val="lt-LT"/>
      </w:rPr>
      <w:t xml:space="preserve"> </w:t>
    </w:r>
    <w:r>
      <w:rPr>
        <w:rFonts w:cs="Arial" w:ascii="Arial" w:hAnsi="Arial"/>
        <w:sz w:val="20"/>
        <w:szCs w:val="20"/>
        <w:lang w:val="lt-LT"/>
      </w:rPr>
      <w:tab/>
      <w:tab/>
      <w:t>Atviro konkurso specialiųjų sąlygų 1 priedas</w:t>
    </w:r>
  </w:p>
  <w:p>
    <w:pPr>
      <w:pStyle w:val="Header"/>
      <w:jc w:val="right"/>
      <w:rPr>
        <w:rFonts w:ascii="Arial" w:hAnsi="Arial" w:cs="Arial"/>
        <w:sz w:val="20"/>
        <w:szCs w:val="20"/>
        <w:lang w:val="lt-LT"/>
      </w:rPr>
    </w:pPr>
    <w:r>
      <w:rPr>
        <w:rFonts w:cs="Arial" w:ascii="Arial" w:hAnsi="Arial"/>
        <w:sz w:val="20"/>
        <w:szCs w:val="20"/>
        <w:lang w:val="lt-LT"/>
      </w:rPr>
      <w:t>„</w:t>
    </w:r>
    <w:r>
      <w:rPr>
        <w:rFonts w:cs="Arial" w:ascii="Arial" w:hAnsi="Arial"/>
        <w:sz w:val="20"/>
        <w:szCs w:val="20"/>
        <w:lang w:val="lt-LT"/>
      </w:rPr>
      <w:t>Techninė specifikacija“</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lang w:val="lt-LT"/>
      </w:rPr>
    </w:pPr>
    <w:r>
      <w:rPr/>
      <w:drawing>
        <wp:inline distT="0" distB="0" distL="0" distR="0">
          <wp:extent cx="1190625" cy="552450"/>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1190625" cy="552450"/>
                  </a:xfrm>
                  <a:prstGeom prst="rect">
                    <a:avLst/>
                  </a:prstGeom>
                  <a:noFill/>
                </pic:spPr>
              </pic:pic>
            </a:graphicData>
          </a:graphic>
        </wp:inline>
      </w:drawing>
    </w:r>
    <w:r>
      <w:rPr>
        <w:rFonts w:cs="Arial" w:ascii="Arial" w:hAnsi="Arial"/>
        <w:sz w:val="20"/>
        <w:szCs w:val="20"/>
        <w:lang w:val="lt-LT"/>
      </w:rPr>
      <w:t xml:space="preserve"> </w:t>
    </w:r>
    <w:r>
      <w:rPr>
        <w:rFonts w:cs="Arial" w:ascii="Arial" w:hAnsi="Arial"/>
        <w:sz w:val="20"/>
        <w:szCs w:val="20"/>
        <w:lang w:val="lt-LT"/>
      </w:rPr>
      <w:tab/>
      <w:tab/>
      <w:t>Atviro konkurso specialiųjų sąlygų 1 priedas</w:t>
    </w:r>
  </w:p>
  <w:p>
    <w:pPr>
      <w:pStyle w:val="Header"/>
      <w:jc w:val="right"/>
      <w:rPr>
        <w:rFonts w:ascii="Arial" w:hAnsi="Arial" w:cs="Arial"/>
        <w:sz w:val="20"/>
        <w:szCs w:val="20"/>
        <w:lang w:val="lt-LT"/>
      </w:rPr>
    </w:pPr>
    <w:r>
      <w:rPr>
        <w:rFonts w:cs="Arial" w:ascii="Arial" w:hAnsi="Arial"/>
        <w:sz w:val="20"/>
        <w:szCs w:val="20"/>
        <w:lang w:val="lt-LT"/>
      </w:rPr>
      <w:t>„</w:t>
    </w:r>
    <w:r>
      <w:rPr>
        <w:rFonts w:cs="Arial" w:ascii="Arial" w:hAnsi="Arial"/>
        <w:sz w:val="20"/>
        <w:szCs w:val="20"/>
        <w:lang w:val="lt-LT"/>
      </w:rPr>
      <w:t>Techninė specifikacija“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922" w:hanging="360"/>
      </w:pPr>
      <w:rPr>
        <w:rFonts w:ascii="Wingdings" w:hAnsi="Wingdings" w:cs="Wingdings" w:hint="default"/>
      </w:rPr>
    </w:lvl>
    <w:lvl w:ilvl="1">
      <w:start w:val="1"/>
      <w:numFmt w:val="bullet"/>
      <w:lvlText w:val="o"/>
      <w:lvlJc w:val="left"/>
      <w:pPr>
        <w:tabs>
          <w:tab w:val="num" w:pos="0"/>
        </w:tabs>
        <w:ind w:left="1642" w:hanging="360"/>
      </w:pPr>
      <w:rPr>
        <w:rFonts w:ascii="Courier New" w:hAnsi="Courier New" w:cs="Courier New" w:hint="default"/>
      </w:rPr>
    </w:lvl>
    <w:lvl w:ilvl="2">
      <w:start w:val="1"/>
      <w:numFmt w:val="bullet"/>
      <w:lvlText w:val=""/>
      <w:lvlJc w:val="left"/>
      <w:pPr>
        <w:tabs>
          <w:tab w:val="num" w:pos="0"/>
        </w:tabs>
        <w:ind w:left="2362" w:hanging="360"/>
      </w:pPr>
      <w:rPr>
        <w:rFonts w:ascii="Wingdings" w:hAnsi="Wingdings" w:cs="Wingdings" w:hint="default"/>
      </w:rPr>
    </w:lvl>
    <w:lvl w:ilvl="3">
      <w:start w:val="1"/>
      <w:numFmt w:val="bullet"/>
      <w:lvlText w:val=""/>
      <w:lvlJc w:val="left"/>
      <w:pPr>
        <w:tabs>
          <w:tab w:val="num" w:pos="0"/>
        </w:tabs>
        <w:ind w:left="3082" w:hanging="360"/>
      </w:pPr>
      <w:rPr>
        <w:rFonts w:ascii="Symbol" w:hAnsi="Symbol" w:cs="Symbol" w:hint="default"/>
      </w:rPr>
    </w:lvl>
    <w:lvl w:ilvl="4">
      <w:start w:val="1"/>
      <w:numFmt w:val="bullet"/>
      <w:lvlText w:val="o"/>
      <w:lvlJc w:val="left"/>
      <w:pPr>
        <w:tabs>
          <w:tab w:val="num" w:pos="0"/>
        </w:tabs>
        <w:ind w:left="3802" w:hanging="360"/>
      </w:pPr>
      <w:rPr>
        <w:rFonts w:ascii="Courier New" w:hAnsi="Courier New" w:cs="Courier New" w:hint="default"/>
      </w:rPr>
    </w:lvl>
    <w:lvl w:ilvl="5">
      <w:start w:val="1"/>
      <w:numFmt w:val="bullet"/>
      <w:lvlText w:val=""/>
      <w:lvlJc w:val="left"/>
      <w:pPr>
        <w:tabs>
          <w:tab w:val="num" w:pos="0"/>
        </w:tabs>
        <w:ind w:left="4522" w:hanging="360"/>
      </w:pPr>
      <w:rPr>
        <w:rFonts w:ascii="Wingdings" w:hAnsi="Wingdings" w:cs="Wingdings" w:hint="default"/>
      </w:rPr>
    </w:lvl>
    <w:lvl w:ilvl="6">
      <w:start w:val="1"/>
      <w:numFmt w:val="bullet"/>
      <w:lvlText w:val=""/>
      <w:lvlJc w:val="left"/>
      <w:pPr>
        <w:tabs>
          <w:tab w:val="num" w:pos="0"/>
        </w:tabs>
        <w:ind w:left="5242" w:hanging="360"/>
      </w:pPr>
      <w:rPr>
        <w:rFonts w:ascii="Symbol" w:hAnsi="Symbol" w:cs="Symbol" w:hint="default"/>
      </w:rPr>
    </w:lvl>
    <w:lvl w:ilvl="7">
      <w:start w:val="1"/>
      <w:numFmt w:val="bullet"/>
      <w:lvlText w:val="o"/>
      <w:lvlJc w:val="left"/>
      <w:pPr>
        <w:tabs>
          <w:tab w:val="num" w:pos="0"/>
        </w:tabs>
        <w:ind w:left="5962" w:hanging="360"/>
      </w:pPr>
      <w:rPr>
        <w:rFonts w:ascii="Courier New" w:hAnsi="Courier New" w:cs="Courier New" w:hint="default"/>
      </w:rPr>
    </w:lvl>
    <w:lvl w:ilvl="8">
      <w:start w:val="1"/>
      <w:numFmt w:val="bullet"/>
      <w:lvlText w:val=""/>
      <w:lvlJc w:val="left"/>
      <w:pPr>
        <w:tabs>
          <w:tab w:val="num" w:pos="0"/>
        </w:tabs>
        <w:ind w:left="6682" w:hanging="360"/>
      </w:pPr>
      <w:rPr>
        <w:rFonts w:ascii="Wingdings" w:hAnsi="Wingdings" w:cs="Wingdings" w:hint="default"/>
      </w:rPr>
    </w:lvl>
  </w:abstractNum>
  <w:abstractNum w:abstractNumId="2">
    <w:lvl w:ilvl="0">
      <w:start w:val="1"/>
      <w:numFmt w:val="decimal"/>
      <w:lvlText w:val="%1."/>
      <w:lvlJc w:val="left"/>
      <w:pPr>
        <w:tabs>
          <w:tab w:val="num" w:pos="0"/>
        </w:tabs>
        <w:ind w:left="720" w:hanging="360"/>
      </w:pPr>
      <w:rPr>
        <w:b/>
        <w:color w:val="auto"/>
      </w:rPr>
    </w:lvl>
    <w:lvl w:ilvl="1">
      <w:start w:val="1"/>
      <w:isLgl/>
      <w:numFmt w:val="decimal"/>
      <w:lvlText w:val="%1.%2."/>
      <w:lvlJc w:val="left"/>
      <w:pPr>
        <w:tabs>
          <w:tab w:val="num" w:pos="0"/>
        </w:tabs>
        <w:ind w:left="1070" w:hanging="360"/>
      </w:pPr>
      <w:rPr>
        <w:b/>
        <w:bCs/>
      </w:rPr>
    </w:lvl>
    <w:lvl w:ilvl="2">
      <w:start w:val="1"/>
      <w:isLgl/>
      <w:numFmt w:val="decimal"/>
      <w:lvlText w:val="%1.%2.%3."/>
      <w:lvlJc w:val="left"/>
      <w:pPr>
        <w:tabs>
          <w:tab w:val="num" w:pos="0"/>
        </w:tabs>
        <w:ind w:left="1080" w:hanging="720"/>
      </w:pPr>
      <w:rPr/>
    </w:lvl>
    <w:lvl w:ilvl="3">
      <w:start w:val="1"/>
      <w:isLgl/>
      <w:numFmt w:val="decimal"/>
      <w:lvlText w:val="%1.%2.%3.%4."/>
      <w:lvlJc w:val="left"/>
      <w:pPr>
        <w:tabs>
          <w:tab w:val="num" w:pos="0"/>
        </w:tabs>
        <w:ind w:left="1080" w:hanging="72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440" w:hanging="108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1800" w:hanging="1440"/>
      </w:pPr>
      <w:rPr/>
    </w:lvl>
    <w:lvl w:ilvl="8">
      <w:start w:val="1"/>
      <w:isLgl/>
      <w:numFmt w:val="decimal"/>
      <w:lvlText w:val="%1.%2.%3.%4.%5.%6.%7.%8.%9."/>
      <w:lvlJc w:val="left"/>
      <w:pPr>
        <w:tabs>
          <w:tab w:val="num" w:pos="0"/>
        </w:tabs>
        <w:ind w:left="2160" w:hanging="1800"/>
      </w:pPr>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bullet"/>
      <w:lvlText w:val=""/>
      <w:lvlJc w:val="left"/>
      <w:pPr>
        <w:tabs>
          <w:tab w:val="num" w:pos="0"/>
        </w:tabs>
        <w:ind w:left="720" w:hanging="360"/>
      </w:pPr>
      <w:rPr>
        <w:rFonts w:ascii="Wingdings" w:hAnsi="Wingdings" w:cs="Wingdings" w:hint="default"/>
      </w:rPr>
    </w:lvl>
    <w:lvl w:ilvl="1">
      <w:start w:val="13"/>
      <w:numFmt w:val="bullet"/>
      <w:lvlText w:val="-"/>
      <w:lvlJc w:val="left"/>
      <w:pPr>
        <w:tabs>
          <w:tab w:val="num" w:pos="0"/>
        </w:tabs>
        <w:ind w:left="1440" w:hanging="360"/>
      </w:pPr>
      <w:rPr>
        <w:rFonts w:ascii="Calibri" w:hAnsi="Calibri" w:cs="Calibri"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lowerLetter"/>
      <w:lvlText w:val="%1)"/>
      <w:lvlJc w:val="left"/>
      <w:pPr>
        <w:tabs>
          <w:tab w:val="num" w:pos="0"/>
        </w:tabs>
        <w:ind w:left="1069"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7">
    <w:lvl w:ilvl="0">
      <w:start w:val="2"/>
      <w:numFmt w:val="decimal"/>
      <w:lvlText w:val="%1."/>
      <w:lvlJc w:val="left"/>
      <w:pPr>
        <w:tabs>
          <w:tab w:val="num" w:pos="0"/>
        </w:tabs>
        <w:ind w:left="360" w:hanging="360"/>
      </w:pPr>
      <w:rPr>
        <w:rFonts w:eastAsia="Calibri" w:cs="Arial"/>
      </w:rPr>
    </w:lvl>
    <w:lvl w:ilvl="1">
      <w:start w:val="1"/>
      <w:numFmt w:val="decimal"/>
      <w:lvlText w:val="%1.%2."/>
      <w:lvlJc w:val="left"/>
      <w:pPr>
        <w:tabs>
          <w:tab w:val="num" w:pos="0"/>
        </w:tabs>
        <w:ind w:left="644" w:hanging="360"/>
      </w:pPr>
      <w:rPr>
        <w:b/>
        <w:bCs/>
        <w:rFonts w:eastAsia="Calibri" w:cs="Arial"/>
      </w:rPr>
    </w:lvl>
    <w:lvl w:ilvl="2">
      <w:start w:val="1"/>
      <w:numFmt w:val="decimal"/>
      <w:lvlText w:val="%1.%2.%3."/>
      <w:lvlJc w:val="left"/>
      <w:pPr>
        <w:tabs>
          <w:tab w:val="num" w:pos="0"/>
        </w:tabs>
        <w:ind w:left="1440" w:hanging="720"/>
      </w:pPr>
      <w:rPr>
        <w:b/>
        <w:bCs/>
        <w:rFonts w:ascii="Arial" w:hAnsi="Arial" w:eastAsia="Calibri" w:cs="Arial"/>
      </w:rPr>
    </w:lvl>
    <w:lvl w:ilvl="3">
      <w:start w:val="1"/>
      <w:numFmt w:val="decimal"/>
      <w:lvlText w:val="%1.%2.%3.%4."/>
      <w:lvlJc w:val="left"/>
      <w:pPr>
        <w:tabs>
          <w:tab w:val="num" w:pos="0"/>
        </w:tabs>
        <w:ind w:left="1800" w:hanging="720"/>
      </w:pPr>
      <w:rPr>
        <w:b/>
        <w:bCs/>
        <w:rFonts w:eastAsia="Calibri" w:cs="Arial"/>
      </w:rPr>
    </w:lvl>
    <w:lvl w:ilvl="4">
      <w:start w:val="1"/>
      <w:numFmt w:val="decimal"/>
      <w:lvlText w:val="%1.%2.%3.%4.%5."/>
      <w:lvlJc w:val="left"/>
      <w:pPr>
        <w:tabs>
          <w:tab w:val="num" w:pos="0"/>
        </w:tabs>
        <w:ind w:left="2520" w:hanging="1080"/>
      </w:pPr>
      <w:rPr>
        <w:rFonts w:eastAsia="Calibri" w:cs="Arial"/>
      </w:rPr>
    </w:lvl>
    <w:lvl w:ilvl="5">
      <w:start w:val="1"/>
      <w:numFmt w:val="decimal"/>
      <w:lvlText w:val="%1.%2.%3.%4.%5.%6."/>
      <w:lvlJc w:val="left"/>
      <w:pPr>
        <w:tabs>
          <w:tab w:val="num" w:pos="0"/>
        </w:tabs>
        <w:ind w:left="2880" w:hanging="1080"/>
      </w:pPr>
      <w:rPr>
        <w:rFonts w:eastAsia="Calibri" w:cs="Arial"/>
      </w:rPr>
    </w:lvl>
    <w:lvl w:ilvl="6">
      <w:start w:val="1"/>
      <w:numFmt w:val="decimal"/>
      <w:lvlText w:val="%1.%2.%3.%4.%5.%6.%7."/>
      <w:lvlJc w:val="left"/>
      <w:pPr>
        <w:tabs>
          <w:tab w:val="num" w:pos="0"/>
        </w:tabs>
        <w:ind w:left="3600" w:hanging="1440"/>
      </w:pPr>
      <w:rPr>
        <w:rFonts w:eastAsia="Calibri" w:cs="Arial"/>
      </w:rPr>
    </w:lvl>
    <w:lvl w:ilvl="7">
      <w:start w:val="1"/>
      <w:numFmt w:val="decimal"/>
      <w:lvlText w:val="%1.%2.%3.%4.%5.%6.%7.%8."/>
      <w:lvlJc w:val="left"/>
      <w:pPr>
        <w:tabs>
          <w:tab w:val="num" w:pos="0"/>
        </w:tabs>
        <w:ind w:left="3960" w:hanging="1440"/>
      </w:pPr>
      <w:rPr>
        <w:rFonts w:eastAsia="Calibri" w:cs="Arial"/>
      </w:rPr>
    </w:lvl>
    <w:lvl w:ilvl="8">
      <w:start w:val="1"/>
      <w:numFmt w:val="decimal"/>
      <w:lvlText w:val="%1.%2.%3.%4.%5.%6.%7.%8.%9."/>
      <w:lvlJc w:val="left"/>
      <w:pPr>
        <w:tabs>
          <w:tab w:val="num" w:pos="0"/>
        </w:tabs>
        <w:ind w:left="4680" w:hanging="1800"/>
      </w:pPr>
      <w:rPr>
        <w:rFonts w:eastAsia="Calibri" w:cs="Arial"/>
      </w:rPr>
    </w:lvl>
  </w:abstractNum>
  <w:abstractNum w:abstractNumId="8">
    <w:lvl w:ilvl="0">
      <w:start w:val="1"/>
      <w:numFmt w:val="lowerLetter"/>
      <w:lvlText w:val="%1)"/>
      <w:lvlJc w:val="left"/>
      <w:pPr>
        <w:tabs>
          <w:tab w:val="num" w:pos="0"/>
        </w:tabs>
        <w:ind w:left="1077" w:hanging="360"/>
      </w:pPr>
      <w:rPr/>
    </w:lvl>
    <w:lvl w:ilvl="1">
      <w:start w:val="1"/>
      <w:numFmt w:val="lowerLetter"/>
      <w:lvlText w:val="%2."/>
      <w:lvlJc w:val="left"/>
      <w:pPr>
        <w:tabs>
          <w:tab w:val="num" w:pos="0"/>
        </w:tabs>
        <w:ind w:left="1797" w:hanging="360"/>
      </w:pPr>
      <w:rPr/>
    </w:lvl>
    <w:lvl w:ilvl="2">
      <w:start w:val="1"/>
      <w:numFmt w:val="lowerRoman"/>
      <w:lvlText w:val="%3."/>
      <w:lvlJc w:val="right"/>
      <w:pPr>
        <w:tabs>
          <w:tab w:val="num" w:pos="0"/>
        </w:tabs>
        <w:ind w:left="2517" w:hanging="180"/>
      </w:pPr>
      <w:rPr/>
    </w:lvl>
    <w:lvl w:ilvl="3">
      <w:start w:val="1"/>
      <w:numFmt w:val="decimal"/>
      <w:lvlText w:val="%4."/>
      <w:lvlJc w:val="left"/>
      <w:pPr>
        <w:tabs>
          <w:tab w:val="num" w:pos="0"/>
        </w:tabs>
        <w:ind w:left="3237" w:hanging="360"/>
      </w:pPr>
      <w:rPr/>
    </w:lvl>
    <w:lvl w:ilvl="4">
      <w:start w:val="1"/>
      <w:numFmt w:val="lowerLetter"/>
      <w:lvlText w:val="%5."/>
      <w:lvlJc w:val="left"/>
      <w:pPr>
        <w:tabs>
          <w:tab w:val="num" w:pos="0"/>
        </w:tabs>
        <w:ind w:left="3957" w:hanging="360"/>
      </w:pPr>
      <w:rPr/>
    </w:lvl>
    <w:lvl w:ilvl="5">
      <w:start w:val="1"/>
      <w:numFmt w:val="lowerRoman"/>
      <w:lvlText w:val="%6."/>
      <w:lvlJc w:val="right"/>
      <w:pPr>
        <w:tabs>
          <w:tab w:val="num" w:pos="0"/>
        </w:tabs>
        <w:ind w:left="4677" w:hanging="180"/>
      </w:pPr>
      <w:rPr/>
    </w:lvl>
    <w:lvl w:ilvl="6">
      <w:start w:val="1"/>
      <w:numFmt w:val="decimal"/>
      <w:lvlText w:val="%7."/>
      <w:lvlJc w:val="left"/>
      <w:pPr>
        <w:tabs>
          <w:tab w:val="num" w:pos="0"/>
        </w:tabs>
        <w:ind w:left="5397" w:hanging="360"/>
      </w:pPr>
      <w:rPr/>
    </w:lvl>
    <w:lvl w:ilvl="7">
      <w:start w:val="1"/>
      <w:numFmt w:val="lowerLetter"/>
      <w:lvlText w:val="%8."/>
      <w:lvlJc w:val="left"/>
      <w:pPr>
        <w:tabs>
          <w:tab w:val="num" w:pos="0"/>
        </w:tabs>
        <w:ind w:left="6117" w:hanging="360"/>
      </w:pPr>
      <w:rPr/>
    </w:lvl>
    <w:lvl w:ilvl="8">
      <w:start w:val="1"/>
      <w:numFmt w:val="lowerRoman"/>
      <w:lvlText w:val="%9."/>
      <w:lvlJc w:val="right"/>
      <w:pPr>
        <w:tabs>
          <w:tab w:val="num" w:pos="0"/>
        </w:tabs>
        <w:ind w:left="6837" w:hanging="180"/>
      </w:pPr>
      <w:rPr/>
    </w:lvl>
  </w:abstractNum>
  <w:abstractNum w:abstractNumId="9">
    <w:lvl w:ilvl="0">
      <w:start w:val="3"/>
      <w:numFmt w:val="decimal"/>
      <w:lvlText w:val="%1."/>
      <w:lvlJc w:val="left"/>
      <w:pPr>
        <w:tabs>
          <w:tab w:val="num" w:pos="0"/>
        </w:tabs>
        <w:ind w:left="504" w:hanging="504"/>
      </w:pPr>
      <w:rPr/>
    </w:lvl>
    <w:lvl w:ilvl="1">
      <w:start w:val="1"/>
      <w:numFmt w:val="decimal"/>
      <w:lvlText w:val="%1.%2."/>
      <w:lvlJc w:val="left"/>
      <w:pPr>
        <w:tabs>
          <w:tab w:val="num" w:pos="0"/>
        </w:tabs>
        <w:ind w:left="864" w:hanging="504"/>
      </w:pPr>
      <w:rPr/>
    </w:lvl>
    <w:lvl w:ilvl="2">
      <w:start w:val="1"/>
      <w:numFmt w:val="decimal"/>
      <w:lvlText w:val="%1.%2.%3."/>
      <w:lvlJc w:val="left"/>
      <w:pPr>
        <w:tabs>
          <w:tab w:val="num" w:pos="0"/>
        </w:tabs>
        <w:ind w:left="1440" w:hanging="720"/>
      </w:pPr>
      <w:rPr/>
    </w:lvl>
    <w:lvl w:ilvl="3">
      <w:start w:val="1"/>
      <w:numFmt w:val="decimal"/>
      <w:lvlText w:val="%1.%2.%3.%4."/>
      <w:lvlJc w:val="left"/>
      <w:pPr>
        <w:tabs>
          <w:tab w:val="num" w:pos="0"/>
        </w:tabs>
        <w:ind w:left="1800" w:hanging="720"/>
      </w:pPr>
      <w:rPr/>
    </w:lvl>
    <w:lvl w:ilvl="4">
      <w:start w:val="1"/>
      <w:numFmt w:val="decimal"/>
      <w:lvlText w:val="%1.%2.%3.%4.%5."/>
      <w:lvlJc w:val="left"/>
      <w:pPr>
        <w:tabs>
          <w:tab w:val="num" w:pos="0"/>
        </w:tabs>
        <w:ind w:left="2520" w:hanging="1080"/>
      </w:pPr>
      <w:rPr/>
    </w:lvl>
    <w:lvl w:ilvl="5">
      <w:start w:val="1"/>
      <w:numFmt w:val="decimal"/>
      <w:lvlText w:val="%1.%2.%3.%4.%5.%6."/>
      <w:lvlJc w:val="left"/>
      <w:pPr>
        <w:tabs>
          <w:tab w:val="num" w:pos="0"/>
        </w:tabs>
        <w:ind w:left="2880" w:hanging="1080"/>
      </w:pPr>
      <w:rPr/>
    </w:lvl>
    <w:lvl w:ilvl="6">
      <w:start w:val="1"/>
      <w:numFmt w:val="decimal"/>
      <w:lvlText w:val="%1.%2.%3.%4.%5.%6.%7."/>
      <w:lvlJc w:val="left"/>
      <w:pPr>
        <w:tabs>
          <w:tab w:val="num" w:pos="0"/>
        </w:tabs>
        <w:ind w:left="3600" w:hanging="1440"/>
      </w:pPr>
      <w:rPr/>
    </w:lvl>
    <w:lvl w:ilvl="7">
      <w:start w:val="1"/>
      <w:numFmt w:val="decimal"/>
      <w:lvlText w:val="%1.%2.%3.%4.%5.%6.%7.%8."/>
      <w:lvlJc w:val="left"/>
      <w:pPr>
        <w:tabs>
          <w:tab w:val="num" w:pos="0"/>
        </w:tabs>
        <w:ind w:left="3960" w:hanging="1440"/>
      </w:pPr>
      <w:rPr/>
    </w:lvl>
    <w:lvl w:ilvl="8">
      <w:start w:val="1"/>
      <w:numFmt w:val="decimal"/>
      <w:lvlText w:val="%1.%2.%3.%4.%5.%6.%7.%8.%9."/>
      <w:lvlJc w:val="left"/>
      <w:pPr>
        <w:tabs>
          <w:tab w:val="num" w:pos="0"/>
        </w:tabs>
        <w:ind w:left="4680" w:hanging="1800"/>
      </w:pPr>
      <w:rPr/>
    </w:lvl>
  </w:abstractNum>
  <w:abstractNum w:abstractNumId="10">
    <w:lvl w:ilvl="0">
      <w:start w:val="1"/>
      <w:numFmt w:val="lowerLetter"/>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1">
    <w:lvl w:ilvl="0">
      <w:start w:val="1"/>
      <w:numFmt w:val="lowerLetter"/>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abstractNum w:abstractNumId="12">
    <w:lvl w:ilvl="0">
      <w:start w:val="1"/>
      <w:numFmt w:val="lowerLetter"/>
      <w:lvlText w:val="%1)"/>
      <w:lvlJc w:val="left"/>
      <w:pPr>
        <w:tabs>
          <w:tab w:val="num" w:pos="0"/>
        </w:tabs>
        <w:ind w:left="1077" w:hanging="360"/>
      </w:pPr>
      <w:rPr/>
    </w:lvl>
    <w:lvl w:ilvl="1">
      <w:start w:val="1"/>
      <w:numFmt w:val="lowerLetter"/>
      <w:lvlText w:val="%2."/>
      <w:lvlJc w:val="left"/>
      <w:pPr>
        <w:tabs>
          <w:tab w:val="num" w:pos="0"/>
        </w:tabs>
        <w:ind w:left="1797" w:hanging="360"/>
      </w:pPr>
      <w:rPr/>
    </w:lvl>
    <w:lvl w:ilvl="2">
      <w:start w:val="1"/>
      <w:numFmt w:val="lowerRoman"/>
      <w:lvlText w:val="%3."/>
      <w:lvlJc w:val="right"/>
      <w:pPr>
        <w:tabs>
          <w:tab w:val="num" w:pos="0"/>
        </w:tabs>
        <w:ind w:left="2517" w:hanging="180"/>
      </w:pPr>
      <w:rPr/>
    </w:lvl>
    <w:lvl w:ilvl="3">
      <w:start w:val="1"/>
      <w:numFmt w:val="decimal"/>
      <w:lvlText w:val="%4."/>
      <w:lvlJc w:val="left"/>
      <w:pPr>
        <w:tabs>
          <w:tab w:val="num" w:pos="0"/>
        </w:tabs>
        <w:ind w:left="3237" w:hanging="360"/>
      </w:pPr>
      <w:rPr/>
    </w:lvl>
    <w:lvl w:ilvl="4">
      <w:start w:val="1"/>
      <w:numFmt w:val="lowerLetter"/>
      <w:lvlText w:val="%5."/>
      <w:lvlJc w:val="left"/>
      <w:pPr>
        <w:tabs>
          <w:tab w:val="num" w:pos="0"/>
        </w:tabs>
        <w:ind w:left="3957" w:hanging="360"/>
      </w:pPr>
      <w:rPr/>
    </w:lvl>
    <w:lvl w:ilvl="5">
      <w:start w:val="1"/>
      <w:numFmt w:val="lowerRoman"/>
      <w:lvlText w:val="%6."/>
      <w:lvlJc w:val="right"/>
      <w:pPr>
        <w:tabs>
          <w:tab w:val="num" w:pos="0"/>
        </w:tabs>
        <w:ind w:left="4677" w:hanging="180"/>
      </w:pPr>
      <w:rPr/>
    </w:lvl>
    <w:lvl w:ilvl="6">
      <w:start w:val="1"/>
      <w:numFmt w:val="decimal"/>
      <w:lvlText w:val="%7."/>
      <w:lvlJc w:val="left"/>
      <w:pPr>
        <w:tabs>
          <w:tab w:val="num" w:pos="0"/>
        </w:tabs>
        <w:ind w:left="5397" w:hanging="360"/>
      </w:pPr>
      <w:rPr/>
    </w:lvl>
    <w:lvl w:ilvl="7">
      <w:start w:val="1"/>
      <w:numFmt w:val="lowerLetter"/>
      <w:lvlText w:val="%8."/>
      <w:lvlJc w:val="left"/>
      <w:pPr>
        <w:tabs>
          <w:tab w:val="num" w:pos="0"/>
        </w:tabs>
        <w:ind w:left="6117" w:hanging="360"/>
      </w:pPr>
      <w:rPr/>
    </w:lvl>
    <w:lvl w:ilvl="8">
      <w:start w:val="1"/>
      <w:numFmt w:val="lowerRoman"/>
      <w:lvlText w:val="%9."/>
      <w:lvlJc w:val="right"/>
      <w:pPr>
        <w:tabs>
          <w:tab w:val="num" w:pos="0"/>
        </w:tabs>
        <w:ind w:left="6837" w:hanging="180"/>
      </w:pPr>
      <w:rPr/>
    </w:lvl>
  </w:abstractNum>
  <w:abstractNum w:abstractNumId="13">
    <w:lvl w:ilvl="0">
      <w:numFmt w:val="bullet"/>
      <w:lvlText w:val="-"/>
      <w:lvlJc w:val="left"/>
      <w:pPr>
        <w:tabs>
          <w:tab w:val="num" w:pos="0"/>
        </w:tabs>
        <w:ind w:left="927" w:hanging="360"/>
      </w:pPr>
      <w:rPr>
        <w:rFonts w:ascii="Arial" w:hAnsi="Arial" w:cs="Arial" w:hint="default"/>
        <w:b w:val="false"/>
        <w:bCs/>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14">
    <w:lvl w:ilvl="0">
      <w:start w:val="1"/>
      <w:numFmt w:val="decimal"/>
      <w:lvlText w:val="%1."/>
      <w:lvlJc w:val="left"/>
      <w:pPr>
        <w:tabs>
          <w:tab w:val="num" w:pos="0"/>
        </w:tabs>
        <w:ind w:left="720" w:hanging="360"/>
      </w:pPr>
      <w:rPr/>
    </w:lvl>
    <w:lvl w:ilvl="1">
      <w:start w:val="1"/>
      <w:numFmt w:val="bullet"/>
      <w:lvlText w:val=""/>
      <w:lvlJc w:val="left"/>
      <w:pPr>
        <w:tabs>
          <w:tab w:val="num" w:pos="0"/>
        </w:tabs>
        <w:ind w:left="1070" w:hanging="360"/>
      </w:pPr>
      <w:rPr>
        <w:rFonts w:ascii="Symbol" w:hAnsi="Symbol" w:cs="Symbol" w:hint="default"/>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bullet"/>
      <w:lvlText w:val=""/>
      <w:lvlJc w:val="left"/>
      <w:pPr>
        <w:tabs>
          <w:tab w:val="num" w:pos="0"/>
        </w:tabs>
        <w:ind w:left="2880" w:hanging="360"/>
      </w:pPr>
      <w:rPr>
        <w:rFonts w:ascii="Symbol" w:hAnsi="Symbol" w:cs="Symbol"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abstractNum w:abstractNumId="16">
    <w:lvl w:ilvl="0">
      <w:numFmt w:val="bullet"/>
      <w:lvlText w:val="-"/>
      <w:lvlJc w:val="left"/>
      <w:pPr>
        <w:tabs>
          <w:tab w:val="num" w:pos="0"/>
        </w:tabs>
        <w:ind w:left="927" w:hanging="360"/>
      </w:pPr>
      <w:rPr>
        <w:rFonts w:ascii="Arial" w:hAnsi="Arial" w:cs="Aria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17">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9">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17"/>
    <w:lvlOverride w:ilvl="0">
      <w:startOverride w:val="1"/>
    </w:lvlOverride>
  </w:num>
  <w:num w:numId="23">
    <w:abstractNumId w:val="17"/>
  </w:num>
  <w:num w:numId="24">
    <w:abstractNumId w:val="17"/>
  </w:num>
  <w:num w:numId="25">
    <w:abstractNumId w:val="17"/>
  </w:num>
</w:numbering>
</file>

<file path=word/settings.xml><?xml version="1.0" encoding="utf-8"?>
<w:settings xmlns:w="http://schemas.openxmlformats.org/wordprocessingml/2006/main">
  <w:zoom w:percent="120"/>
  <w:trackRevisions/>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57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AntratsDiagrama" w:customStyle="1">
    <w:name w:val="Antraštės Diagrama"/>
    <w:basedOn w:val="DefaultParagraphFont"/>
    <w:uiPriority w:val="99"/>
    <w:qFormat/>
    <w:rsid w:val="00785afd"/>
    <w:rPr/>
  </w:style>
  <w:style w:type="character" w:styleId="PoratDiagrama" w:customStyle="1">
    <w:name w:val="Poraštė Diagrama"/>
    <w:basedOn w:val="DefaultParagraphFont"/>
    <w:uiPriority w:val="99"/>
    <w:qFormat/>
    <w:rsid w:val="00785afd"/>
    <w:rPr/>
  </w:style>
  <w:style w:type="character" w:styleId="CommentReference">
    <w:name w:val="annotation reference"/>
    <w:basedOn w:val="DefaultParagraphFont"/>
    <w:uiPriority w:val="99"/>
    <w:semiHidden/>
    <w:unhideWhenUsed/>
    <w:qFormat/>
    <w:rsid w:val="00772e5a"/>
    <w:rPr>
      <w:sz w:val="16"/>
      <w:szCs w:val="16"/>
    </w:rPr>
  </w:style>
  <w:style w:type="character" w:styleId="KomentarotekstasDiagrama" w:customStyle="1">
    <w:name w:val="Komentaro tekstas Diagrama"/>
    <w:basedOn w:val="DefaultParagraphFont"/>
    <w:uiPriority w:val="99"/>
    <w:qFormat/>
    <w:rsid w:val="00772e5a"/>
    <w:rPr>
      <w:rFonts w:ascii="Times New Roman" w:hAnsi="Times New Roman" w:eastAsia="Calibri" w:cs="Times New Roman"/>
      <w:sz w:val="20"/>
      <w:szCs w:val="20"/>
      <w:lang w:val="lt-LT"/>
    </w:rPr>
  </w:style>
  <w:style w:type="character" w:styleId="DebesliotekstasDiagrama" w:customStyle="1">
    <w:name w:val="Debesėlio tekstas Diagrama"/>
    <w:basedOn w:val="DefaultParagraphFont"/>
    <w:link w:val="BalloonText"/>
    <w:uiPriority w:val="99"/>
    <w:semiHidden/>
    <w:qFormat/>
    <w:rsid w:val="00772e5a"/>
    <w:rPr>
      <w:rFonts w:ascii="Segoe UI" w:hAnsi="Segoe UI" w:cs="Segoe UI"/>
      <w:sz w:val="18"/>
      <w:szCs w:val="18"/>
    </w:rPr>
  </w:style>
  <w:style w:type="character" w:styleId="KomentarotemaDiagrama" w:customStyle="1">
    <w:name w:val="Komentaro tema Diagrama"/>
    <w:basedOn w:val="KomentarotekstasDiagrama"/>
    <w:link w:val="annotationsubject"/>
    <w:uiPriority w:val="99"/>
    <w:semiHidden/>
    <w:qFormat/>
    <w:rsid w:val="00772e5a"/>
    <w:rPr>
      <w:rFonts w:ascii="Times New Roman" w:hAnsi="Times New Roman" w:eastAsia="Calibri" w:cs="Times New Roman"/>
      <w:b/>
      <w:bCs/>
      <w:sz w:val="20"/>
      <w:szCs w:val="20"/>
      <w:lang w:val="lt-LT"/>
    </w:rPr>
  </w:style>
  <w:style w:type="character" w:styleId="BetarpDiagrama" w:customStyle="1">
    <w:name w:val="Be tarpų Diagrama"/>
    <w:basedOn w:val="DefaultParagraphFont"/>
    <w:link w:val="NoSpacing"/>
    <w:uiPriority w:val="99"/>
    <w:qFormat/>
    <w:locked/>
    <w:rsid w:val="00e91c93"/>
    <w:rPr>
      <w:rFonts w:ascii="Times New Roman" w:hAnsi="Times New Roman" w:eastAsia="Calibri" w:cs="Times New Roman"/>
      <w:sz w:val="24"/>
      <w:lang w:val="lt-LT"/>
    </w:rPr>
  </w:style>
  <w:style w:type="character" w:styleId="SraopastraipaDiagrama" w:customStyle="1">
    <w:name w:val="Sąrašo pastraipa Diagrama"/>
    <w:basedOn w:val="DefaultParagraphFont"/>
    <w:link w:val="ListParagraph"/>
    <w:uiPriority w:val="34"/>
    <w:qFormat/>
    <w:locked/>
    <w:rsid w:val="00da5684"/>
    <w:rPr/>
  </w:style>
  <w:style w:type="character" w:styleId="Laukeliai" w:customStyle="1">
    <w:name w:val="Laukeliai"/>
    <w:basedOn w:val="DefaultParagraphFont"/>
    <w:uiPriority w:val="1"/>
    <w:qFormat/>
    <w:rsid w:val="00af42f3"/>
    <w:rPr>
      <w:rFonts w:ascii="Arial" w:hAnsi="Arial"/>
      <w:sz w:val="20"/>
    </w:rPr>
  </w:style>
  <w:style w:type="character" w:styleId="LineNumbering" w:customStyle="1">
    <w:name w:val="Line Numbering"/>
    <w:qFormat/>
    <w:rPr/>
  </w:style>
  <w:style w:type="character" w:styleId="LineNumbering1">
    <w:name w:val="Line Numbering1"/>
    <w:qFormat/>
    <w:rPr/>
  </w:style>
  <w:style w:type="character" w:styleId="LineNumber">
    <w:name w:val="line number"/>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next w:val="BodyText"/>
    <w:qFormat/>
    <w:pPr>
      <w:suppressLineNumbers/>
      <w:spacing w:before="120" w:after="120"/>
    </w:pPr>
    <w:rPr>
      <w:rFonts w:cs="Lucida Sans"/>
      <w:i/>
      <w:iCs/>
      <w:sz w:val="24"/>
      <w:szCs w:val="24"/>
    </w:rPr>
  </w:style>
  <w:style w:type="paragraph" w:styleId="Rodykl" w:customStyle="1">
    <w:name w:val="Rodyklė"/>
    <w:basedOn w:val="Normal"/>
    <w:qFormat/>
    <w:pPr>
      <w:suppressLineNumbers/>
    </w:pPr>
    <w:rPr>
      <w:rFonts w:cs="Lucida Sans"/>
    </w:rPr>
  </w:style>
  <w:style w:type="paragraph" w:styleId="HeaderandFooter" w:customStyle="1">
    <w:name w:val="Header and Footer"/>
    <w:basedOn w:val="Normal"/>
    <w:qFormat/>
    <w:pPr/>
    <w:rPr/>
  </w:style>
  <w:style w:type="paragraph" w:styleId="Header">
    <w:name w:val="header"/>
    <w:basedOn w:val="Normal"/>
    <w:link w:val="AntratsDiagrama"/>
    <w:uiPriority w:val="99"/>
    <w:unhideWhenUsed/>
    <w:rsid w:val="00785afd"/>
    <w:pPr>
      <w:tabs>
        <w:tab w:val="clear" w:pos="720"/>
        <w:tab w:val="center" w:pos="4819" w:leader="none"/>
        <w:tab w:val="right" w:pos="9638" w:leader="none"/>
      </w:tabs>
      <w:spacing w:lineRule="auto" w:line="240" w:before="0" w:after="0"/>
    </w:pPr>
    <w:rPr/>
  </w:style>
  <w:style w:type="paragraph" w:styleId="Footer">
    <w:name w:val="footer"/>
    <w:basedOn w:val="Normal"/>
    <w:link w:val="PoratDiagrama"/>
    <w:uiPriority w:val="99"/>
    <w:unhideWhenUsed/>
    <w:rsid w:val="00785afd"/>
    <w:pPr>
      <w:tabs>
        <w:tab w:val="clear" w:pos="720"/>
        <w:tab w:val="center" w:pos="4819" w:leader="none"/>
        <w:tab w:val="right" w:pos="9638" w:leader="none"/>
      </w:tabs>
      <w:spacing w:lineRule="auto" w:line="240" w:before="0" w:after="0"/>
    </w:pPr>
    <w:rPr/>
  </w:style>
  <w:style w:type="paragraph" w:styleId="ListParagraph">
    <w:name w:val="List Paragraph"/>
    <w:basedOn w:val="Normal"/>
    <w:link w:val="SraopastraipaDiagrama"/>
    <w:uiPriority w:val="34"/>
    <w:qFormat/>
    <w:rsid w:val="00785afd"/>
    <w:pPr>
      <w:spacing w:before="0" w:after="160"/>
      <w:ind w:left="720"/>
      <w:contextualSpacing/>
    </w:pPr>
    <w:rPr/>
  </w:style>
  <w:style w:type="paragraph" w:styleId="Default" w:customStyle="1">
    <w:name w:val="Default"/>
    <w:qFormat/>
    <w:rsid w:val="008f246e"/>
    <w:pPr>
      <w:widowControl/>
      <w:suppressAutoHyphens w:val="true"/>
      <w:bidi w:val="0"/>
      <w:spacing w:before="0" w:after="0"/>
      <w:jc w:val="left"/>
    </w:pPr>
    <w:rPr>
      <w:rFonts w:ascii="Verdana" w:hAnsi="Verdana" w:eastAsia="Calibri" w:cs="Verdana"/>
      <w:color w:val="000000"/>
      <w:kern w:val="0"/>
      <w:sz w:val="24"/>
      <w:szCs w:val="24"/>
      <w:lang w:val="en-US" w:eastAsia="en-US" w:bidi="ar-SA"/>
    </w:rPr>
  </w:style>
  <w:style w:type="paragraph" w:styleId="CommentText">
    <w:name w:val="annotation text"/>
    <w:basedOn w:val="Normal"/>
    <w:link w:val="KomentarotekstasDiagrama"/>
    <w:uiPriority w:val="99"/>
    <w:unhideWhenUsed/>
    <w:rsid w:val="00772e5a"/>
    <w:pPr>
      <w:spacing w:lineRule="auto" w:line="240" w:before="0" w:after="200"/>
    </w:pPr>
    <w:rPr>
      <w:rFonts w:ascii="Times New Roman" w:hAnsi="Times New Roman" w:eastAsia="Calibri" w:cs="Times New Roman"/>
      <w:sz w:val="20"/>
      <w:szCs w:val="20"/>
      <w:lang w:val="lt-LT"/>
    </w:rPr>
  </w:style>
  <w:style w:type="paragraph" w:styleId="BalloonText">
    <w:name w:val="Balloon Text"/>
    <w:basedOn w:val="Normal"/>
    <w:link w:val="DebesliotekstasDiagrama"/>
    <w:uiPriority w:val="99"/>
    <w:semiHidden/>
    <w:unhideWhenUsed/>
    <w:qFormat/>
    <w:rsid w:val="00772e5a"/>
    <w:pPr>
      <w:spacing w:lineRule="auto" w:line="240" w:before="0" w:after="0"/>
    </w:pPr>
    <w:rPr>
      <w:rFonts w:ascii="Segoe UI" w:hAnsi="Segoe UI" w:cs="Segoe UI"/>
      <w:sz w:val="18"/>
      <w:szCs w:val="18"/>
    </w:rPr>
  </w:style>
  <w:style w:type="paragraph" w:styleId="annotationsubject">
    <w:name w:val="annotation subject"/>
    <w:basedOn w:val="CommentText"/>
    <w:next w:val="CommentText"/>
    <w:link w:val="KomentarotemaDiagrama"/>
    <w:uiPriority w:val="99"/>
    <w:semiHidden/>
    <w:unhideWhenUsed/>
    <w:qFormat/>
    <w:rsid w:val="00772e5a"/>
    <w:pPr>
      <w:spacing w:before="0" w:after="160"/>
    </w:pPr>
    <w:rPr>
      <w:rFonts w:ascii="Calibri" w:hAnsi="Calibri" w:eastAsia="Calibri" w:cs="" w:asciiTheme="minorHAnsi" w:cstheme="minorBidi" w:eastAsiaTheme="minorHAnsi" w:hAnsiTheme="minorHAnsi"/>
      <w:b/>
      <w:bCs/>
      <w:lang w:val="en-US"/>
    </w:rPr>
  </w:style>
  <w:style w:type="paragraph" w:styleId="NoSpacing">
    <w:name w:val="No Spacing"/>
    <w:link w:val="BetarpDiagrama"/>
    <w:uiPriority w:val="99"/>
    <w:qFormat/>
    <w:rsid w:val="00e91c93"/>
    <w:pPr>
      <w:widowControl/>
      <w:suppressAutoHyphens w:val="true"/>
      <w:bidi w:val="0"/>
      <w:spacing w:before="0" w:after="0"/>
      <w:jc w:val="left"/>
    </w:pPr>
    <w:rPr>
      <w:rFonts w:ascii="Times New Roman" w:hAnsi="Times New Roman" w:cs="Times New Roman" w:eastAsia="Calibri" w:eastAsiaTheme="minorHAnsi"/>
      <w:color w:val="auto"/>
      <w:kern w:val="0"/>
      <w:sz w:val="24"/>
      <w:szCs w:val="22"/>
      <w:lang w:val="lt-LT" w:eastAsia="en-US" w:bidi="ar-SA"/>
    </w:rPr>
  </w:style>
  <w:style w:type="paragraph" w:styleId="NormalWeb">
    <w:name w:val="Normal (Web)"/>
    <w:basedOn w:val="Normal"/>
    <w:uiPriority w:val="99"/>
    <w:semiHidden/>
    <w:unhideWhenUsed/>
    <w:qFormat/>
    <w:rsid w:val="00787398"/>
    <w:pPr>
      <w:spacing w:lineRule="auto" w:line="240" w:beforeAutospacing="1" w:afterAutospacing="1"/>
    </w:pPr>
    <w:rPr>
      <w:rFonts w:ascii="Times New Roman" w:hAnsi="Times New Roman" w:eastAsia="Times New Roman" w:cs="Times New Roman"/>
      <w:sz w:val="24"/>
      <w:szCs w:val="24"/>
      <w:lang w:val="lt-LT" w:eastAsia="lt-LT"/>
    </w:rPr>
  </w:style>
  <w:style w:type="paragraph" w:styleId="Revision">
    <w:name w:val="Revision"/>
    <w:uiPriority w:val="99"/>
    <w:semiHidden/>
    <w:qFormat/>
    <w:rsid w:val="007f4968"/>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 w:type="table" w:styleId="Lentelstinklelis">
    <w:name w:val="Table Grid"/>
    <w:basedOn w:val="prastojilentel"/>
    <w:uiPriority w:val="99"/>
    <w:rsid w:val="00571b8d"/>
    <w:rPr>
      <w:lang w:val="lt-LT" w:eastAsia="lt-LT"/>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Relationship Id="rId12" Type="http://schemas.openxmlformats.org/officeDocument/2006/relationships/customXml" Target="../customXml/item4.xml"/><Relationship Id="rId13" Type="http://schemas.openxmlformats.org/officeDocument/2006/relationships/customXml" Target="../customXml/item5.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_rels/head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artner xmlns="51DBA165-02DF-4DFD-B286-A4AC6B17BDAB" xsi:nil="true"/>
    <insuranceType xmlns="51DBA165-02DF-4DFD-B286-A4AC6B17BD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False</openByDefault>
  <xsnScope/>
</customXsn>
</file>

<file path=customXml/item5.xml><?xml version="1.0" encoding="utf-8"?>
<ct:contentTypeSchema xmlns:ct="http://schemas.microsoft.com/office/2006/metadata/contentType" xmlns:ma="http://schemas.microsoft.com/office/2006/metadata/properties/metaAttributes" ct:_="" ma:_="" ma:contentTypeName="Kliento dokumentas" ma:contentTypeID="0x01010057D0F01724CB49118187F99BBB4F172900DFADFBCD5CF1BF43B3A0BEE16F2B24E5" ma:contentTypeVersion="11" ma:contentTypeDescription="" ma:contentTypeScope="" ma:versionID="61a3f35c068efc1e9b6f71a06c3b3d49">
  <xsd:schema xmlns:xsd="http://www.w3.org/2001/XMLSchema" xmlns:xs="http://www.w3.org/2001/XMLSchema" xmlns:p="http://schemas.microsoft.com/office/2006/metadata/properties" xmlns:ns2="51DBA165-02DF-4DFD-B286-A4AC6B17BDAB" targetNamespace="http://schemas.microsoft.com/office/2006/metadata/properties" ma:root="true" ma:fieldsID="5403d68e461867cab5b13951f2f6a52b" ns2:_="">
    <xsd:import namespace="51DBA165-02DF-4DFD-B286-A4AC6B17BDAB"/>
    <xsd:element name="properties">
      <xsd:complexType>
        <xsd:sequence>
          <xsd:element name="documentManagement">
            <xsd:complexType>
              <xsd:all>
                <xsd:element ref="ns2:insuranceType" minOccurs="0"/>
                <xsd:element ref="ns2:part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BA165-02DF-4DFD-B286-A4AC6B17BDAB" elementFormDefault="qualified">
    <xsd:import namespace="http://schemas.microsoft.com/office/2006/documentManagement/types"/>
    <xsd:import namespace="http://schemas.microsoft.com/office/infopath/2007/PartnerControls"/>
    <xsd:element name="insuranceType" ma:index="8" nillable="true" ma:displayName="Draudimo rūšis" ma:format="Dropdown" ma:hidden="true" ma:internalName="insuranceType">
      <xsd:simpleType>
        <xsd:restriction base="dms:Choice">
          <xsd:enumeration value="TP - transporto priemonių (Kasko)"/>
          <xsd:enumeration value="ECA - ECA įprastinis"/>
          <xsd:enumeration value="IT - įmonių ir organizacijų turto"/>
          <xsd:enumeration value="KDV - kelionių vienkartinis"/>
          <xsd:enumeration value="NA - nuo nelaimingų atsitikimų"/>
          <xsd:enumeration value="PSNT - gyventojų turto draudimas"/>
          <xsd:enumeration value="KDD - kelionių daugkartinis"/>
          <xsd:enumeration value="SV - sveikatos"/>
          <xsd:enumeration value="BCA - bendrosios CA"/>
          <xsd:enumeration value="PCA - bendrosios profesinės CA"/>
          <xsd:enumeration value="ACA - advokato profesinės CA"/>
          <xsd:enumeration value="RANGCA - rangovo privalomasis CA"/>
          <xsd:enumeration value="STATCA - statinio projektuotojo prival. CA"/>
          <xsd:enumeration value="CMR - transporto pramonės įmonių CA"/>
          <xsd:enumeration value="KOMPL - Kompleksinis pasiūlymas"/>
          <xsd:enumeration value="KR - krovinių"/>
          <xsd:enumeration value="ZK - Žalia korta"/>
          <xsd:enumeration value="TC - transporto priemonių valdytojų CA"/>
          <xsd:enumeration value="BI - gamybos (verslo) nutrūkimo nuo gaisro"/>
          <xsd:enumeration value="UPC - pagr.tyrėjų ir biomedic. tyrimų užsakovų CA"/>
          <xsd:enumeration value="LD - laivų"/>
          <xsd:enumeration value="GD - gyvulių draudimas"/>
          <xsd:enumeration value="BAP CA - bankroto admin. prof. prival. CA"/>
          <xsd:enumeration value="FAC - fizinio asmens CA"/>
          <xsd:enumeration value="CPM - mobilių įrenginių draudimas"/>
          <xsd:enumeration value="CAR - statybos ir CA prival. draudimas"/>
          <xsd:enumeration value="MEDCA - sveikatos priežiūros įstaigų CA draudimas"/>
          <xsd:enumeration value="DO - vadovaujančių asmenų CA"/>
          <xsd:enumeration value="SILD - laidavimo draudimas"/>
          <xsd:enumeration value="KR - krovinių generalinis"/>
          <xsd:enumeration value="SV - sveikatos draudimas"/>
          <xsd:enumeration value="BAPCA - bankroto admin. prof. prival. CA"/>
          <xsd:enumeration value="TC - Savanoriškas transporto priemonių valdytojų CA"/>
          <xsd:enumeration value="ŽK - Žalia korta"/>
          <xsd:enumeration value="GD - gyvūnų draudimas"/>
          <xsd:enumeration value="Kasko - transporto priemonių draudimas"/>
          <xsd:enumeration value="TPVCAPD - privalomasis automobilio draudimas"/>
          <xsd:enumeration value="BD - Būsto draudimas"/>
          <xsd:enumeration value="IT - įmonių turto draudimas"/>
          <xsd:enumeration value="BI - verslo nutrūkimo draudimas"/>
          <xsd:enumeration value="CPM - mobiliųjų įrenginių draudimas"/>
          <xsd:enumeration value="NA - draudimas nuo nelaimingų atsitikimų"/>
          <xsd:enumeration value="KR - krovinių vienkartinis"/>
          <xsd:enumeration value="LD - laivų draudimas"/>
        </xsd:restriction>
      </xsd:simpleType>
    </xsd:element>
    <xsd:element name="partner" ma:index="9" nillable="true" ma:displayName="Partneris" ma:hidden="true" ma:internalName="partner">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3FC68-EF4E-43D4-8C27-A6EFBC35DCD4}">
  <ds:schemaRefs>
    <ds:schemaRef ds:uri="http://schemas.openxmlformats.org/officeDocument/2006/bibliography"/>
  </ds:schemaRefs>
</ds:datastoreItem>
</file>

<file path=customXml/itemProps2.xml><?xml version="1.0" encoding="utf-8"?>
<ds:datastoreItem xmlns:ds="http://schemas.openxmlformats.org/officeDocument/2006/customXml" ds:itemID="{97144663-536C-4B92-A616-5C7F376D5591}">
  <ds:schemaRefs>
    <ds:schemaRef ds:uri="http://schemas.microsoft.com/office/2006/metadata/properties"/>
    <ds:schemaRef ds:uri="http://schemas.microsoft.com/office/infopath/2007/PartnerControls"/>
    <ds:schemaRef ds:uri="51DBA165-02DF-4DFD-B286-A4AC6B17BDAB"/>
  </ds:schemaRefs>
</ds:datastoreItem>
</file>

<file path=customXml/itemProps3.xml><?xml version="1.0" encoding="utf-8"?>
<ds:datastoreItem xmlns:ds="http://schemas.openxmlformats.org/officeDocument/2006/customXml" ds:itemID="{BFFA2A4A-3851-40FD-9EE9-EA539ED698A7}">
  <ds:schemaRefs>
    <ds:schemaRef ds:uri="http://schemas.microsoft.com/sharepoint/v3/contenttype/forms"/>
  </ds:schemaRefs>
</ds:datastoreItem>
</file>

<file path=customXml/itemProps4.xml><?xml version="1.0" encoding="utf-8"?>
<ds:datastoreItem xmlns:ds="http://schemas.openxmlformats.org/officeDocument/2006/customXml" ds:itemID="{2C92F445-E345-46F2-A20A-F9C7B99CFB99}">
  <ds:schemaRefs>
    <ds:schemaRef ds:uri="http://schemas.microsoft.com/office/2006/metadata/customXsn"/>
  </ds:schemaRefs>
</ds:datastoreItem>
</file>

<file path=customXml/itemProps5.xml><?xml version="1.0" encoding="utf-8"?>
<ds:datastoreItem xmlns:ds="http://schemas.openxmlformats.org/officeDocument/2006/customXml" ds:itemID="{FDBBA93F-3A4F-4AD4-BDD1-6C567BF803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BA165-02DF-4DFD-B286-A4AC6B17BD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Application>LibreOffice/24.8.0.3$Windows_X86_64 LibreOffice_project/0bdf1299c94fe897b119f97f3c613e9dca6be583</Application>
  <AppVersion>15.0000</AppVersion>
  <Pages>11</Pages>
  <Words>4511</Words>
  <Characters>30180</Characters>
  <CharactersWithSpaces>34324</CharactersWithSpaces>
  <Paragraphs>289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2026-07-28T08:51:00Z</dcterms:created>
  <dc:creator>Nerijus</dc:creator>
  <dc:description/>
  <dc:language>lt-LT</dc:language>
  <cp:lastModifiedBy/>
  <dcterms:modified xsi:type="dcterms:W3CDTF">2026-07-28T13:17:39Z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onClassification">
    <vt:lpwstr>ADC_class_200</vt:lpwstr>
  </property>
  <property fmtid="{D5CDD505-2E9C-101B-9397-08002B2CF9AE}" pid="3" name="ContentTypeId">
    <vt:lpwstr>0x01010057D0F01724CB49118187F99BBB4F172900DFADFBCD5CF1BF43B3A0BEE16F2B24E5</vt:lpwstr>
  </property>
  <property fmtid="{D5CDD505-2E9C-101B-9397-08002B2CF9AE}" pid="4" name="MSIP_Label_9043f10a-881e-4653-a55e-02ca2cc829dc_ActionId">
    <vt:lpwstr>12c8daf0-cea3-41ed-92cb-4895abfdad66</vt:lpwstr>
  </property>
  <property fmtid="{D5CDD505-2E9C-101B-9397-08002B2CF9AE}" pid="5" name="MSIP_Label_9043f10a-881e-4653-a55e-02ca2cc829dc_ContentBits">
    <vt:lpwstr>0</vt:lpwstr>
  </property>
  <property fmtid="{D5CDD505-2E9C-101B-9397-08002B2CF9AE}" pid="6" name="MSIP_Label_9043f10a-881e-4653-a55e-02ca2cc829dc_Enabled">
    <vt:lpwstr>true</vt:lpwstr>
  </property>
  <property fmtid="{D5CDD505-2E9C-101B-9397-08002B2CF9AE}" pid="7" name="MSIP_Label_9043f10a-881e-4653-a55e-02ca2cc829dc_Method">
    <vt:lpwstr>Standard</vt:lpwstr>
  </property>
  <property fmtid="{D5CDD505-2E9C-101B-9397-08002B2CF9AE}" pid="8" name="MSIP_Label_9043f10a-881e-4653-a55e-02ca2cc829dc_Name">
    <vt:lpwstr>ADC_class_200</vt:lpwstr>
  </property>
  <property fmtid="{D5CDD505-2E9C-101B-9397-08002B2CF9AE}" pid="9" name="MSIP_Label_9043f10a-881e-4653-a55e-02ca2cc829dc_SetDate">
    <vt:lpwstr>2024-08-22T12:34:38Z</vt:lpwstr>
  </property>
  <property fmtid="{D5CDD505-2E9C-101B-9397-08002B2CF9AE}" pid="10" name="MSIP_Label_9043f10a-881e-4653-a55e-02ca2cc829dc_SiteId">
    <vt:lpwstr>94cfddbc-0627-494a-ad7a-29aea3aea832</vt:lpwstr>
  </property>
  <property fmtid="{D5CDD505-2E9C-101B-9397-08002B2CF9AE}" pid="11" name="TitusGUID">
    <vt:lpwstr>66dda18d-ab6b-4f63-ae5c-3618260ef52a</vt:lpwstr>
  </property>
</Properties>
</file>